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F3" w:rsidRDefault="003845F3"/>
    <w:sdt>
      <w:sdtPr>
        <w:id w:val="1144157507"/>
        <w:docPartObj>
          <w:docPartGallery w:val="Cover Pages"/>
          <w:docPartUnique/>
        </w:docPartObj>
      </w:sdtPr>
      <w:sdtEndPr/>
      <w:sdtContent>
        <w:p w:rsidR="003845F3" w:rsidRDefault="003845F3">
          <w:r>
            <w:rPr>
              <w:noProof/>
            </w:rPr>
            <w:drawing>
              <wp:anchor distT="0" distB="0" distL="114300" distR="114300" simplePos="0" relativeHeight="251659264" behindDoc="1" locked="0" layoutInCell="1" allowOverlap="1" wp14:anchorId="3967F783" wp14:editId="648F3C32">
                <wp:simplePos x="0" y="0"/>
                <wp:positionH relativeFrom="page">
                  <wp:align>center</wp:align>
                </wp:positionH>
                <wp:positionV relativeFrom="page">
                  <wp:posOffset>2560320</wp:posOffset>
                </wp:positionV>
                <wp:extent cx="3995928" cy="1279306"/>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Bridge Logo.jpg"/>
                        <pic:cNvPicPr/>
                      </pic:nvPicPr>
                      <pic:blipFill>
                        <a:blip r:embed="rId9">
                          <a:extLst>
                            <a:ext uri="{28A0092B-C50C-407E-A947-70E740481C1C}">
                              <a14:useLocalDpi xmlns:a14="http://schemas.microsoft.com/office/drawing/2010/main" val="0"/>
                            </a:ext>
                          </a:extLst>
                        </a:blip>
                        <a:stretch>
                          <a:fillRect/>
                        </a:stretch>
                      </pic:blipFill>
                      <pic:spPr>
                        <a:xfrm>
                          <a:off x="0" y="0"/>
                          <a:ext cx="3995928" cy="1279306"/>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660541AC" wp14:editId="72B558D2">
                <wp:simplePos x="0" y="0"/>
                <wp:positionH relativeFrom="page">
                  <wp:align>center</wp:align>
                </wp:positionH>
                <wp:positionV relativeFrom="page">
                  <wp:posOffset>158115</wp:posOffset>
                </wp:positionV>
                <wp:extent cx="7498080" cy="1737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ts.jpg"/>
                        <pic:cNvPicPr/>
                      </pic:nvPicPr>
                      <pic:blipFill>
                        <a:blip r:embed="rId10">
                          <a:extLst>
                            <a:ext uri="{28A0092B-C50C-407E-A947-70E740481C1C}">
                              <a14:useLocalDpi xmlns:a14="http://schemas.microsoft.com/office/drawing/2010/main" val="0"/>
                            </a:ext>
                          </a:extLst>
                        </a:blip>
                        <a:stretch>
                          <a:fillRect/>
                        </a:stretch>
                      </pic:blipFill>
                      <pic:spPr>
                        <a:xfrm>
                          <a:off x="0" y="0"/>
                          <a:ext cx="7498080" cy="173736"/>
                        </a:xfrm>
                        <a:prstGeom prst="rect">
                          <a:avLst/>
                        </a:prstGeom>
                      </pic:spPr>
                    </pic:pic>
                  </a:graphicData>
                </a:graphic>
                <wp14:sizeRelH relativeFrom="margin">
                  <wp14:pctWidth>0</wp14:pctWidth>
                </wp14:sizeRelH>
                <wp14:sizeRelV relativeFrom="margin">
                  <wp14:pctHeight>0</wp14:pctHeight>
                </wp14:sizeRelV>
              </wp:anchor>
            </w:drawing>
          </w:r>
        </w:p>
        <w:p w:rsidR="003845F3" w:rsidRDefault="003845F3">
          <w:pPr>
            <w:suppressAutoHyphens w:val="0"/>
            <w:autoSpaceDE/>
            <w:autoSpaceDN/>
            <w:adjustRightInd/>
            <w:spacing w:after="160" w:line="259" w:lineRule="auto"/>
            <w:textAlignment w:val="auto"/>
            <w:rPr>
              <w:b/>
              <w:bCs/>
              <w:color w:val="1A3D6E"/>
              <w:sz w:val="36"/>
              <w:szCs w:val="36"/>
            </w:rPr>
          </w:pPr>
          <w:r>
            <w:rPr>
              <w:noProof/>
            </w:rPr>
            <mc:AlternateContent>
              <mc:Choice Requires="wps">
                <w:drawing>
                  <wp:anchor distT="45720" distB="45720" distL="114300" distR="114300" simplePos="0" relativeHeight="251661312" behindDoc="0" locked="0" layoutInCell="1" allowOverlap="1" wp14:anchorId="6C8A9F11" wp14:editId="1D0541E5">
                    <wp:simplePos x="0" y="0"/>
                    <wp:positionH relativeFrom="page">
                      <wp:posOffset>1145894</wp:posOffset>
                    </wp:positionH>
                    <wp:positionV relativeFrom="page">
                      <wp:posOffset>4803494</wp:posOffset>
                    </wp:positionV>
                    <wp:extent cx="5486400" cy="1579944"/>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9944"/>
                            </a:xfrm>
                            <a:prstGeom prst="rect">
                              <a:avLst/>
                            </a:prstGeom>
                            <a:noFill/>
                            <a:ln w="9525">
                              <a:noFill/>
                              <a:miter lim="800000"/>
                              <a:headEnd/>
                              <a:tailEnd/>
                            </a:ln>
                          </wps:spPr>
                          <wps:txbx>
                            <w:txbxContent>
                              <w:p w:rsidR="003845F3" w:rsidRDefault="008D5386" w:rsidP="003845F3">
                                <w:pPr>
                                  <w:pStyle w:val="Title"/>
                                </w:pPr>
                                <w:r>
                                  <w:t>Recommendations for Agreement Types</w:t>
                                </w:r>
                              </w:p>
                              <w:p w:rsidR="003845F3" w:rsidRDefault="008D5386" w:rsidP="003845F3">
                                <w:pPr>
                                  <w:pStyle w:val="Subtitle"/>
                                </w:pPr>
                                <w:r>
                                  <w:t>February 24, 2017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25pt;margin-top:378.25pt;width:6in;height:124.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8MBAIAAOUDAAAOAAAAZHJzL2Uyb0RvYy54bWysU9tu2zAMfR+wfxD0vtgJkrYx4hRduw4D&#10;ugvQ7gMYWY6FSaImKbGzrx8lJ2mwvQ3zg0CL5CEPebS6HYxme+mDQlvz6aTkTFqBjbLbmn9/eXx3&#10;w1mIYBvQaGXNDzLw2/XbN6veVXKGHepGekYgNlS9q3kXo6uKIohOGggTdNKSs0VvINKv3xaNh57Q&#10;jS5mZXlV9Ogb51HIEOj2YXTydcZvWyni17YNMjJdc+ot5tPnc5POYr2CauvBdUoc24B/6MKAslT0&#10;DPUAEdjOq7+gjBIeA7ZxItAU2LZKyMyB2EzLP9g8d+Bk5kLDCe48pvD/YMWX/TfPVFPz2fSaMwuG&#10;lvQih8je48BmaT69CxWFPTsKjANd054z1+CeUPwIzOJ9B3Yr77zHvpPQUH/TlFlcpI44IYFs+s/Y&#10;UBnYRcxAQ+tNGh6NgxE67elw3k1qRdDlYn5zNS/JJcg3XVwvl/N5rgHVKd35ED9KNCwZNfe0/AwP&#10;+6cQUztQnUJSNYuPSussAG1ZX/PlYrbICRceoyLpUytT85syfaNiEssPtsnJEZQebSqg7ZF2Yjpy&#10;jsNmoMA0iw02BxqAx1GH9G7I6ND/4qwnDdY8/NyBl5zpT5aGmAR7MvzJ2JwMsIJSax45G837mIU9&#10;cruj4bYq036tfOyNtJSncdR9Euvlf456fZ3r3wAAAP//AwBQSwMEFAAGAAgAAAAhAKtP41nfAAAA&#10;DQEAAA8AAABkcnMvZG93bnJldi54bWxMj8FOwzAQRO9I/IO1SNyoDTShDXGqCsEJCZGGQ49O7CZW&#10;43WI3Tb8PZsT3Ga0o9k3+WZyPTubMViPEu4XApjBxmuLrYSv6u1uBSxEhVr1Ho2EHxNgU1xf5SrT&#10;/oKlOe9iy6gEQ6YkdDEOGeeh6YxTYeEHg3Q7+NGpSHZsuR7Vhcpdzx+ESLlTFulDpwbz0pnmuDs5&#10;Cds9lq/2+6P+LA+lraq1wPf0KOXtzbR9BhbNFP/CMOMTOhTEVPsT6sB68iuRUFTCU5KSmBNiuSRV&#10;z0okj8CLnP9fUfwCAAD//wMAUEsBAi0AFAAGAAgAAAAhALaDOJL+AAAA4QEAABMAAAAAAAAAAAAA&#10;AAAAAAAAAFtDb250ZW50X1R5cGVzXS54bWxQSwECLQAUAAYACAAAACEAOP0h/9YAAACUAQAACwAA&#10;AAAAAAAAAAAAAAAvAQAAX3JlbHMvLnJlbHNQSwECLQAUAAYACAAAACEAYD7vDAQCAADlAwAADgAA&#10;AAAAAAAAAAAAAAAuAgAAZHJzL2Uyb0RvYy54bWxQSwECLQAUAAYACAAAACEAq0/jWd8AAAANAQAA&#10;DwAAAAAAAAAAAAAAAABeBAAAZHJzL2Rvd25yZXYueG1sUEsFBgAAAAAEAAQA8wAAAGoFAAAAAA==&#10;" filled="f" stroked="f">
                    <v:textbox inset="0,0,0,0">
                      <w:txbxContent>
                        <w:p w:rsidR="003845F3" w:rsidRDefault="008D5386" w:rsidP="003845F3">
                          <w:pPr>
                            <w:pStyle w:val="Title"/>
                          </w:pPr>
                          <w:r>
                            <w:t>Recommendations for Agreement Types</w:t>
                          </w:r>
                        </w:p>
                        <w:p w:rsidR="003845F3" w:rsidRDefault="008D5386" w:rsidP="003845F3">
                          <w:pPr>
                            <w:pStyle w:val="Subtitle"/>
                          </w:pPr>
                          <w:r>
                            <w:t>February 24, 2017</w:t>
                          </w:r>
                        </w:p>
                      </w:txbxContent>
                    </v:textbox>
                    <w10:wrap anchorx="page" anchory="page"/>
                  </v:shape>
                </w:pict>
              </mc:Fallback>
            </mc:AlternateContent>
          </w:r>
          <w:r>
            <w:br w:type="page"/>
          </w:r>
        </w:p>
      </w:sdtContent>
    </w:sdt>
    <w:p w:rsidR="008D5386" w:rsidRPr="008D5386" w:rsidRDefault="008D5386" w:rsidP="008D5386">
      <w:pPr>
        <w:pStyle w:val="Heading1"/>
      </w:pPr>
      <w:r w:rsidRPr="008D5386">
        <w:lastRenderedPageBreak/>
        <w:t>Recommendations and Agreements</w:t>
      </w:r>
    </w:p>
    <w:p w:rsidR="008D5386" w:rsidRDefault="008D5386" w:rsidP="008D5386"/>
    <w:p w:rsidR="005815F7" w:rsidRPr="008D5386" w:rsidRDefault="005815F7" w:rsidP="008D5386">
      <w:r w:rsidRPr="008D5386">
        <w:t xml:space="preserve">Draft agreement content provided for discussion and Digital Bridge planning purposes. </w:t>
      </w:r>
      <w:r w:rsidR="008D5386">
        <w:t>This i</w:t>
      </w:r>
      <w:r w:rsidRPr="008D5386">
        <w:t xml:space="preserve">ncludes references to regulatory issues specific </w:t>
      </w:r>
      <w:r w:rsidR="008D5386">
        <w:t>to some s</w:t>
      </w:r>
      <w:r w:rsidRPr="008D5386">
        <w:t>tate laws and regulations.</w:t>
      </w:r>
    </w:p>
    <w:p w:rsidR="008D5386" w:rsidRDefault="008D5386" w:rsidP="008D5386">
      <w:pPr>
        <w:pStyle w:val="Heading2"/>
      </w:pPr>
    </w:p>
    <w:p w:rsidR="005815F7" w:rsidRPr="00C177E2" w:rsidRDefault="005815F7" w:rsidP="008D5386">
      <w:pPr>
        <w:pStyle w:val="Heading2"/>
      </w:pPr>
      <w:r w:rsidRPr="00DE4D3A">
        <w:t xml:space="preserve">A. Provider to Intermediary </w:t>
      </w:r>
    </w:p>
    <w:p w:rsidR="005815F7" w:rsidRDefault="005815F7" w:rsidP="008D5386">
      <w:r w:rsidRPr="00FA213F">
        <w:t xml:space="preserve">The Health Care Providers [“HCP”] must first enter into a </w:t>
      </w:r>
      <w:r w:rsidRPr="00FA213F">
        <w:rPr>
          <w:b/>
        </w:rPr>
        <w:t xml:space="preserve">Business </w:t>
      </w:r>
      <w:r w:rsidR="00455838">
        <w:rPr>
          <w:b/>
        </w:rPr>
        <w:t xml:space="preserve">Associate </w:t>
      </w:r>
      <w:r w:rsidRPr="00FA213F">
        <w:rPr>
          <w:b/>
        </w:rPr>
        <w:t xml:space="preserve">Agreement [“BAA”] / Data Use Agreement [“DUA”] </w:t>
      </w:r>
      <w:r w:rsidRPr="00FA213F">
        <w:t>with the Association of Public Health Laboratories [“APHL”].</w:t>
      </w:r>
      <w:r w:rsidR="00455838">
        <w:t xml:space="preserve"> </w:t>
      </w:r>
      <w:r w:rsidRPr="00FA213F">
        <w:t>The D</w:t>
      </w:r>
      <w:r w:rsidR="00455838">
        <w:t>UA</w:t>
      </w:r>
      <w:r>
        <w:t xml:space="preserve"> can be incorporated into the BAA and should include the following provisions:</w:t>
      </w:r>
    </w:p>
    <w:p w:rsidR="005815F7" w:rsidRDefault="005815F7" w:rsidP="005815F7">
      <w:pPr>
        <w:pStyle w:val="Default"/>
        <w:rPr>
          <w:bCs/>
        </w:rPr>
      </w:pPr>
    </w:p>
    <w:p w:rsidR="005815F7" w:rsidRPr="00064851" w:rsidRDefault="005815F7" w:rsidP="008D5386">
      <w:pPr>
        <w:pStyle w:val="Heading3"/>
      </w:pPr>
      <w:r w:rsidRPr="00064851">
        <w:t>BUSINESS ASSOCIATE AND DATA USE AGREEMENT</w:t>
      </w:r>
    </w:p>
    <w:p w:rsidR="005815F7" w:rsidRPr="00064851" w:rsidRDefault="005815F7" w:rsidP="005815F7">
      <w:pPr>
        <w:pStyle w:val="Default"/>
      </w:pPr>
    </w:p>
    <w:p w:rsidR="005815F7" w:rsidRPr="00064851" w:rsidRDefault="005815F7" w:rsidP="008D5386">
      <w:r w:rsidRPr="00064851">
        <w:t xml:space="preserve">NAME OF COVERED ENTITY: ______________________________________________ </w:t>
      </w:r>
    </w:p>
    <w:p w:rsidR="005815F7" w:rsidRPr="00064851" w:rsidRDefault="005815F7" w:rsidP="008D5386"/>
    <w:p w:rsidR="005815F7" w:rsidRPr="00064851" w:rsidRDefault="005815F7" w:rsidP="008D5386">
      <w:r w:rsidRPr="00064851">
        <w:t xml:space="preserve">COVERED ENTITY FEIN/TAX ID: ______________________________________________ </w:t>
      </w:r>
    </w:p>
    <w:p w:rsidR="005815F7" w:rsidRPr="00064851" w:rsidRDefault="005815F7" w:rsidP="008D5386"/>
    <w:p w:rsidR="005815F7" w:rsidRPr="00064851" w:rsidRDefault="005815F7" w:rsidP="008D5386">
      <w:r w:rsidRPr="00064851">
        <w:t xml:space="preserve">COVERED ENTITY ADDRESS: ______________________________________________ </w:t>
      </w:r>
    </w:p>
    <w:p w:rsidR="005815F7" w:rsidRPr="00064851" w:rsidRDefault="005815F7" w:rsidP="008D5386"/>
    <w:p w:rsidR="005815F7" w:rsidRPr="00064851" w:rsidRDefault="005815F7" w:rsidP="008D5386">
      <w:r w:rsidRPr="00064851">
        <w:t xml:space="preserve">This </w:t>
      </w:r>
      <w:r w:rsidRPr="00064851">
        <w:rPr>
          <w:b/>
          <w:bCs/>
        </w:rPr>
        <w:t xml:space="preserve">Business Associate and Data Use Agreement </w:t>
      </w:r>
      <w:r w:rsidRPr="00064851">
        <w:t xml:space="preserve">(“Agreement”) is effective as of the date signed by both parties (“Effective Date”) between ____________________________________ (“Covered Entity”) and the </w:t>
      </w:r>
      <w:r w:rsidRPr="00064851">
        <w:rPr>
          <w:bCs/>
        </w:rPr>
        <w:t xml:space="preserve">Association of Public Health Laboratories [“APHL”] </w:t>
      </w:r>
      <w:r w:rsidRPr="00064851">
        <w:t xml:space="preserve">and shall continue until terminated in accordance with Section 10 below. </w:t>
      </w:r>
    </w:p>
    <w:p w:rsidR="005815F7" w:rsidRPr="00064851" w:rsidRDefault="005815F7" w:rsidP="008D5386"/>
    <w:p w:rsidR="005815F7" w:rsidRDefault="005815F7" w:rsidP="008D5386">
      <w:r w:rsidRPr="00064851">
        <w:t>WHEREAS, Covered Entity desires to participate</w:t>
      </w:r>
      <w:r>
        <w:t xml:space="preserve"> in the exchange of Protected Health Information (“PHI”) with APHL, specifically infectious or communicable disease c</w:t>
      </w:r>
      <w:r w:rsidR="00455838">
        <w:t xml:space="preserve">ase or suspected case reports. </w:t>
      </w:r>
      <w:r>
        <w:t xml:space="preserve">This data platform administered by APHL </w:t>
      </w:r>
      <w:r w:rsidRPr="00064851">
        <w:t xml:space="preserve">requires Covered Entity to allow </w:t>
      </w:r>
      <w:r>
        <w:t>APHL</w:t>
      </w:r>
      <w:r w:rsidRPr="00064851">
        <w:t xml:space="preserve"> to have access to Covered Entity’s Protected Health Information (“PHI”); and </w:t>
      </w:r>
    </w:p>
    <w:p w:rsidR="005815F7" w:rsidRPr="00064851" w:rsidRDefault="005815F7" w:rsidP="008D5386"/>
    <w:p w:rsidR="005815F7" w:rsidRDefault="005815F7" w:rsidP="008D5386">
      <w:r w:rsidRPr="00064851">
        <w:t xml:space="preserve">WHEREAS, Covered Entity and </w:t>
      </w:r>
      <w:r>
        <w:t>APHL</w:t>
      </w:r>
      <w:r w:rsidRPr="00064851">
        <w:t xml:space="preserve"> may have entered into one or more certain written agreement(s) regarding Covered Entity’s participation in the </w:t>
      </w:r>
      <w:r>
        <w:t>APHL</w:t>
      </w:r>
      <w:r w:rsidRPr="00064851">
        <w:t xml:space="preserve"> program(s) (“Underlying Agreement(s)”). </w:t>
      </w:r>
    </w:p>
    <w:p w:rsidR="005815F7" w:rsidRPr="00FA213F" w:rsidRDefault="005815F7" w:rsidP="008D5386">
      <w:pPr>
        <w:rPr>
          <w:b/>
          <w:u w:val="single"/>
        </w:rPr>
      </w:pPr>
    </w:p>
    <w:p w:rsidR="005815F7" w:rsidRPr="008D5386" w:rsidRDefault="005815F7" w:rsidP="008D5386">
      <w:pPr>
        <w:pStyle w:val="ListParagraph"/>
        <w:numPr>
          <w:ilvl w:val="0"/>
          <w:numId w:val="7"/>
        </w:numPr>
        <w:spacing w:line="240" w:lineRule="auto"/>
      </w:pPr>
      <w:r w:rsidRPr="008D5386">
        <w:rPr>
          <w:bCs/>
        </w:rPr>
        <w:t>General Business Associate and Data Use Provisions</w:t>
      </w:r>
    </w:p>
    <w:p w:rsidR="005815F7" w:rsidRPr="008D5386" w:rsidRDefault="005815F7" w:rsidP="008D5386">
      <w:pPr>
        <w:pStyle w:val="ListParagraph"/>
        <w:numPr>
          <w:ilvl w:val="0"/>
          <w:numId w:val="7"/>
        </w:numPr>
        <w:spacing w:line="240" w:lineRule="auto"/>
      </w:pPr>
      <w:r w:rsidRPr="008D5386">
        <w:rPr>
          <w:bCs/>
        </w:rPr>
        <w:t>Definitions</w:t>
      </w:r>
    </w:p>
    <w:p w:rsidR="005815F7" w:rsidRPr="008D5386" w:rsidRDefault="005815F7" w:rsidP="008D5386">
      <w:pPr>
        <w:pStyle w:val="ListParagraph"/>
        <w:numPr>
          <w:ilvl w:val="0"/>
          <w:numId w:val="7"/>
        </w:numPr>
        <w:spacing w:line="240" w:lineRule="auto"/>
      </w:pPr>
      <w:r w:rsidRPr="008D5386">
        <w:t>Specific Permitted Uses and Disclosures</w:t>
      </w:r>
    </w:p>
    <w:p w:rsidR="005815F7" w:rsidRPr="008D5386" w:rsidRDefault="005815F7" w:rsidP="008D5386">
      <w:pPr>
        <w:pStyle w:val="ListParagraph"/>
        <w:numPr>
          <w:ilvl w:val="0"/>
          <w:numId w:val="7"/>
        </w:numPr>
        <w:spacing w:line="240" w:lineRule="auto"/>
      </w:pPr>
      <w:r w:rsidRPr="008D5386">
        <w:t>General Uses and Disclosures</w:t>
      </w:r>
    </w:p>
    <w:p w:rsidR="005815F7" w:rsidRPr="008D5386" w:rsidRDefault="005815F7" w:rsidP="008D5386">
      <w:pPr>
        <w:pStyle w:val="ListParagraph"/>
        <w:numPr>
          <w:ilvl w:val="0"/>
          <w:numId w:val="7"/>
        </w:numPr>
        <w:spacing w:line="240" w:lineRule="auto"/>
      </w:pPr>
      <w:r w:rsidRPr="008D5386">
        <w:t>Obligations of APHL as Business Associate</w:t>
      </w:r>
    </w:p>
    <w:p w:rsidR="005815F7" w:rsidRPr="008D5386" w:rsidRDefault="005815F7" w:rsidP="008D5386">
      <w:pPr>
        <w:pStyle w:val="ListParagraph"/>
        <w:numPr>
          <w:ilvl w:val="0"/>
          <w:numId w:val="7"/>
        </w:numPr>
        <w:spacing w:line="240" w:lineRule="auto"/>
      </w:pPr>
      <w:r w:rsidRPr="008D5386">
        <w:t>Data Use Agreement Obligations</w:t>
      </w:r>
    </w:p>
    <w:p w:rsidR="005815F7" w:rsidRPr="008D5386" w:rsidRDefault="005815F7" w:rsidP="008D5386">
      <w:pPr>
        <w:pStyle w:val="ListParagraph"/>
        <w:numPr>
          <w:ilvl w:val="0"/>
          <w:numId w:val="7"/>
        </w:numPr>
        <w:spacing w:line="240" w:lineRule="auto"/>
      </w:pPr>
      <w:r w:rsidRPr="008D5386">
        <w:t>General Obligations of Covered Entity</w:t>
      </w:r>
    </w:p>
    <w:p w:rsidR="005815F7" w:rsidRPr="008D5386" w:rsidRDefault="005815F7" w:rsidP="008D5386">
      <w:pPr>
        <w:pStyle w:val="ListParagraph"/>
        <w:numPr>
          <w:ilvl w:val="0"/>
          <w:numId w:val="7"/>
        </w:numPr>
        <w:spacing w:line="240" w:lineRule="auto"/>
      </w:pPr>
      <w:r w:rsidRPr="008D5386">
        <w:t>Insurance</w:t>
      </w:r>
    </w:p>
    <w:p w:rsidR="005815F7" w:rsidRPr="008D5386" w:rsidRDefault="005815F7" w:rsidP="008D5386">
      <w:pPr>
        <w:pStyle w:val="ListParagraph"/>
        <w:numPr>
          <w:ilvl w:val="0"/>
          <w:numId w:val="7"/>
        </w:numPr>
        <w:spacing w:line="240" w:lineRule="auto"/>
      </w:pPr>
      <w:r w:rsidRPr="008D5386">
        <w:t>Indemnification</w:t>
      </w:r>
    </w:p>
    <w:p w:rsidR="005815F7" w:rsidRPr="008D5386" w:rsidRDefault="005815F7" w:rsidP="008D5386">
      <w:pPr>
        <w:pStyle w:val="ListParagraph"/>
        <w:numPr>
          <w:ilvl w:val="0"/>
          <w:numId w:val="7"/>
        </w:numPr>
        <w:spacing w:line="240" w:lineRule="auto"/>
      </w:pPr>
      <w:r w:rsidRPr="008D5386">
        <w:t>Termination</w:t>
      </w:r>
    </w:p>
    <w:p w:rsidR="005815F7" w:rsidRPr="008D5386" w:rsidRDefault="005815F7" w:rsidP="008D5386">
      <w:pPr>
        <w:pStyle w:val="ListParagraph"/>
        <w:numPr>
          <w:ilvl w:val="0"/>
          <w:numId w:val="7"/>
        </w:numPr>
        <w:spacing w:line="240" w:lineRule="auto"/>
      </w:pPr>
      <w:r w:rsidRPr="008D5386">
        <w:t>Effect of Termination on APHL Obligation to Destroy or Protect Data</w:t>
      </w:r>
    </w:p>
    <w:p w:rsidR="005815F7" w:rsidRPr="008D5386" w:rsidRDefault="005815F7" w:rsidP="008D5386">
      <w:pPr>
        <w:pStyle w:val="ListParagraph"/>
        <w:numPr>
          <w:ilvl w:val="0"/>
          <w:numId w:val="7"/>
        </w:numPr>
        <w:spacing w:line="240" w:lineRule="auto"/>
      </w:pPr>
      <w:r w:rsidRPr="008D5386">
        <w:t>Effect of Termination on Provision of Data to APHL</w:t>
      </w:r>
    </w:p>
    <w:p w:rsidR="005815F7" w:rsidRPr="008D5386" w:rsidRDefault="005815F7" w:rsidP="008D5386">
      <w:pPr>
        <w:pStyle w:val="ListParagraph"/>
        <w:numPr>
          <w:ilvl w:val="0"/>
          <w:numId w:val="7"/>
        </w:numPr>
        <w:spacing w:line="240" w:lineRule="auto"/>
      </w:pPr>
      <w:r w:rsidRPr="008D5386">
        <w:t>Regulatory References</w:t>
      </w:r>
    </w:p>
    <w:p w:rsidR="005815F7" w:rsidRPr="008D5386" w:rsidRDefault="005815F7" w:rsidP="008D5386">
      <w:pPr>
        <w:pStyle w:val="ListParagraph"/>
        <w:numPr>
          <w:ilvl w:val="0"/>
          <w:numId w:val="7"/>
        </w:numPr>
        <w:spacing w:line="240" w:lineRule="auto"/>
      </w:pPr>
      <w:r w:rsidRPr="008D5386">
        <w:lastRenderedPageBreak/>
        <w:t>Amendment</w:t>
      </w:r>
    </w:p>
    <w:p w:rsidR="005815F7" w:rsidRPr="008D5386" w:rsidRDefault="005815F7" w:rsidP="008D5386">
      <w:pPr>
        <w:pStyle w:val="ListParagraph"/>
        <w:numPr>
          <w:ilvl w:val="0"/>
          <w:numId w:val="7"/>
        </w:numPr>
        <w:spacing w:line="240" w:lineRule="auto"/>
      </w:pPr>
      <w:r w:rsidRPr="008D5386">
        <w:t>Interpretation</w:t>
      </w:r>
    </w:p>
    <w:p w:rsidR="005815F7" w:rsidRPr="008D5386" w:rsidRDefault="005815F7" w:rsidP="008D5386">
      <w:pPr>
        <w:pStyle w:val="ListParagraph"/>
        <w:numPr>
          <w:ilvl w:val="0"/>
          <w:numId w:val="7"/>
        </w:numPr>
        <w:spacing w:line="240" w:lineRule="auto"/>
      </w:pPr>
      <w:r w:rsidRPr="008D5386">
        <w:t>Relationship to Underlying Agreement(s)</w:t>
      </w:r>
    </w:p>
    <w:p w:rsidR="005815F7" w:rsidRPr="008D5386" w:rsidRDefault="005815F7" w:rsidP="008D5386">
      <w:pPr>
        <w:pStyle w:val="ListParagraph"/>
        <w:numPr>
          <w:ilvl w:val="0"/>
          <w:numId w:val="7"/>
        </w:numPr>
        <w:spacing w:line="240" w:lineRule="auto"/>
      </w:pPr>
      <w:r w:rsidRPr="008D5386">
        <w:t>Assignment</w:t>
      </w:r>
    </w:p>
    <w:p w:rsidR="005815F7" w:rsidRPr="008D5386" w:rsidRDefault="005815F7" w:rsidP="008D5386">
      <w:pPr>
        <w:pStyle w:val="ListParagraph"/>
        <w:numPr>
          <w:ilvl w:val="0"/>
          <w:numId w:val="7"/>
        </w:numPr>
        <w:spacing w:line="240" w:lineRule="auto"/>
      </w:pPr>
      <w:r w:rsidRPr="008D5386">
        <w:t>Severability</w:t>
      </w:r>
    </w:p>
    <w:p w:rsidR="005815F7" w:rsidRPr="008D5386" w:rsidRDefault="005815F7" w:rsidP="008D5386">
      <w:pPr>
        <w:pStyle w:val="ListParagraph"/>
        <w:numPr>
          <w:ilvl w:val="0"/>
          <w:numId w:val="7"/>
        </w:numPr>
        <w:spacing w:line="240" w:lineRule="auto"/>
      </w:pPr>
      <w:r w:rsidRPr="008D5386">
        <w:t>Entire Agreement</w:t>
      </w:r>
    </w:p>
    <w:p w:rsidR="005815F7" w:rsidRPr="008D5386" w:rsidRDefault="005815F7" w:rsidP="008D5386">
      <w:pPr>
        <w:pStyle w:val="ListParagraph"/>
        <w:numPr>
          <w:ilvl w:val="0"/>
          <w:numId w:val="7"/>
        </w:numPr>
        <w:spacing w:line="240" w:lineRule="auto"/>
      </w:pPr>
      <w:r w:rsidRPr="008D5386">
        <w:t>Jurisdiction</w:t>
      </w:r>
    </w:p>
    <w:p w:rsidR="005815F7" w:rsidRPr="008D5386" w:rsidRDefault="005815F7" w:rsidP="008D5386">
      <w:pPr>
        <w:pStyle w:val="ListParagraph"/>
        <w:numPr>
          <w:ilvl w:val="0"/>
          <w:numId w:val="7"/>
        </w:numPr>
        <w:spacing w:line="240" w:lineRule="auto"/>
      </w:pPr>
      <w:r w:rsidRPr="008D5386">
        <w:t>Third Party Beneficiaries</w:t>
      </w:r>
    </w:p>
    <w:p w:rsidR="005815F7" w:rsidRPr="008D5386" w:rsidRDefault="005815F7" w:rsidP="008D5386">
      <w:pPr>
        <w:pStyle w:val="ListParagraph"/>
        <w:numPr>
          <w:ilvl w:val="0"/>
          <w:numId w:val="7"/>
        </w:numPr>
        <w:spacing w:line="240" w:lineRule="auto"/>
      </w:pPr>
      <w:r w:rsidRPr="008D5386">
        <w:t>Waiver</w:t>
      </w:r>
    </w:p>
    <w:p w:rsidR="005815F7" w:rsidRPr="008D5386" w:rsidRDefault="005815F7" w:rsidP="008D5386">
      <w:pPr>
        <w:pStyle w:val="ListParagraph"/>
        <w:numPr>
          <w:ilvl w:val="0"/>
          <w:numId w:val="7"/>
        </w:numPr>
        <w:spacing w:line="240" w:lineRule="auto"/>
      </w:pPr>
      <w:r w:rsidRPr="008D5386">
        <w:t>Relationship of the Parties</w:t>
      </w:r>
    </w:p>
    <w:p w:rsidR="005815F7" w:rsidRPr="008D5386" w:rsidRDefault="005815F7" w:rsidP="008D5386">
      <w:pPr>
        <w:pStyle w:val="ListParagraph"/>
        <w:numPr>
          <w:ilvl w:val="0"/>
          <w:numId w:val="7"/>
        </w:numPr>
        <w:spacing w:line="240" w:lineRule="auto"/>
      </w:pPr>
      <w:r w:rsidRPr="008D5386">
        <w:t>Authority</w:t>
      </w:r>
    </w:p>
    <w:p w:rsidR="005815F7" w:rsidRPr="008D5386" w:rsidRDefault="005815F7" w:rsidP="008D5386">
      <w:pPr>
        <w:pStyle w:val="ListParagraph"/>
        <w:numPr>
          <w:ilvl w:val="0"/>
          <w:numId w:val="7"/>
        </w:numPr>
        <w:spacing w:line="240" w:lineRule="auto"/>
      </w:pPr>
      <w:r w:rsidRPr="008D5386">
        <w:t>Notices</w:t>
      </w:r>
    </w:p>
    <w:p w:rsidR="005815F7" w:rsidRDefault="005815F7" w:rsidP="005815F7">
      <w:pPr>
        <w:pStyle w:val="Default"/>
        <w:ind w:left="720"/>
        <w:rPr>
          <w:b/>
          <w:sz w:val="23"/>
          <w:szCs w:val="23"/>
          <w:u w:val="single"/>
        </w:rPr>
      </w:pPr>
    </w:p>
    <w:p w:rsidR="005815F7" w:rsidRDefault="008D5386" w:rsidP="008D5386">
      <w:pPr>
        <w:pStyle w:val="Heading3"/>
      </w:pPr>
      <w:r>
        <w:t>DATA USE AGREEMENT</w:t>
      </w:r>
    </w:p>
    <w:p w:rsidR="005815F7" w:rsidRDefault="005815F7" w:rsidP="008D5386">
      <w:r w:rsidRPr="00EF7920">
        <w:t xml:space="preserve">This Data Sharing [Use] Agreement is made and entered into by and between </w:t>
      </w:r>
      <w:r w:rsidRPr="008D5386">
        <w:rPr>
          <w:b/>
          <w:u w:val="single"/>
        </w:rPr>
        <w:t>MICHIGAN HEALTH INFORMATION NETWORK SHARED SERVICES</w:t>
      </w:r>
      <w:r>
        <w:t>, a Michigan nonprofit corporation (“HIN”), and the undersigned Participating Organization APHL, on _____________ 20___ (“Effective Day”). HIN and Participating Organization are referred to herein collectively as “</w:t>
      </w:r>
      <w:r w:rsidRPr="005C1250">
        <w:rPr>
          <w:b/>
          <w:u w:val="single"/>
        </w:rPr>
        <w:t>Parties</w:t>
      </w:r>
      <w:r>
        <w:t>” and individually as a “</w:t>
      </w:r>
      <w:r w:rsidRPr="005C1250">
        <w:rPr>
          <w:b/>
          <w:u w:val="single"/>
        </w:rPr>
        <w:t>Party</w:t>
      </w:r>
      <w:r>
        <w:rPr>
          <w:b/>
          <w:u w:val="single"/>
        </w:rPr>
        <w:t>.</w:t>
      </w:r>
      <w:r>
        <w:t>”</w:t>
      </w:r>
    </w:p>
    <w:p w:rsidR="005815F7" w:rsidRDefault="005815F7" w:rsidP="005815F7">
      <w:pPr>
        <w:pStyle w:val="Default"/>
      </w:pPr>
    </w:p>
    <w:p w:rsidR="005815F7" w:rsidRDefault="005815F7" w:rsidP="008D5386">
      <w:pPr>
        <w:pStyle w:val="Heading3"/>
      </w:pPr>
      <w:r>
        <w:t>RECITALS</w:t>
      </w:r>
    </w:p>
    <w:p w:rsidR="005815F7" w:rsidRDefault="005815F7" w:rsidP="008D5386">
      <w:pPr>
        <w:pStyle w:val="ListParagraph"/>
        <w:numPr>
          <w:ilvl w:val="0"/>
          <w:numId w:val="8"/>
        </w:numPr>
      </w:pPr>
      <w:r>
        <w:t>Participating Organizations have each individually entered into a Qualified Data Sharing Organization Agreement or similar agreement with HIN for participating in the HIE Platform, which is Michigan’s initiate to improve heal</w:t>
      </w:r>
      <w:r w:rsidR="00455838">
        <w:t>th care quality, cost, efficiency</w:t>
      </w:r>
      <w:r>
        <w:t xml:space="preserve"> and patient safety through electronic exchange of health information;</w:t>
      </w:r>
    </w:p>
    <w:p w:rsidR="005815F7" w:rsidRDefault="005815F7" w:rsidP="008D5386">
      <w:pPr>
        <w:pStyle w:val="ListParagraph"/>
        <w:numPr>
          <w:ilvl w:val="0"/>
          <w:numId w:val="8"/>
        </w:numPr>
      </w:pPr>
      <w:r>
        <w:t>Using the HIE Platform requires that the Parties electronically exchange data; and</w:t>
      </w:r>
    </w:p>
    <w:p w:rsidR="005815F7" w:rsidRDefault="005815F7" w:rsidP="008D5386">
      <w:pPr>
        <w:pStyle w:val="ListParagraph"/>
        <w:numPr>
          <w:ilvl w:val="0"/>
          <w:numId w:val="8"/>
        </w:numPr>
      </w:pPr>
      <w:r>
        <w:t>The purpose of this Agreement is to provide a legal framework within which the Participating Organizations will exchange cases and suspected cases of Infectious or Communicable Diseases through the HIE Platform.</w:t>
      </w:r>
    </w:p>
    <w:p w:rsidR="005815F7" w:rsidRPr="008D5386" w:rsidRDefault="005815F7" w:rsidP="008D5386">
      <w:pPr>
        <w:rPr>
          <w:b/>
        </w:rPr>
      </w:pPr>
    </w:p>
    <w:p w:rsidR="005815F7" w:rsidRPr="008D5386" w:rsidRDefault="005815F7" w:rsidP="008D5386">
      <w:pPr>
        <w:rPr>
          <w:b/>
        </w:rPr>
      </w:pPr>
      <w:r w:rsidRPr="008D5386">
        <w:rPr>
          <w:b/>
        </w:rPr>
        <w:t>NOW THERFORE, the Parties agree as follows:</w:t>
      </w:r>
    </w:p>
    <w:p w:rsidR="005815F7" w:rsidRPr="008D5386" w:rsidRDefault="00E35DB7" w:rsidP="005815F7">
      <w:pPr>
        <w:pStyle w:val="Default"/>
        <w:numPr>
          <w:ilvl w:val="0"/>
          <w:numId w:val="4"/>
        </w:numPr>
        <w:rPr>
          <w:rFonts w:asciiTheme="minorHAnsi" w:hAnsiTheme="minorHAnsi"/>
          <w:sz w:val="20"/>
          <w:szCs w:val="20"/>
        </w:rPr>
      </w:pPr>
      <w:r>
        <w:rPr>
          <w:rFonts w:asciiTheme="minorHAnsi" w:hAnsiTheme="minorHAnsi"/>
          <w:sz w:val="20"/>
          <w:szCs w:val="20"/>
        </w:rPr>
        <w:t>APPLICATION; DEFINITIONS</w:t>
      </w:r>
    </w:p>
    <w:p w:rsidR="005815F7" w:rsidRPr="008D5386" w:rsidRDefault="005815F7" w:rsidP="005815F7">
      <w:pPr>
        <w:pStyle w:val="Default"/>
        <w:numPr>
          <w:ilvl w:val="0"/>
          <w:numId w:val="4"/>
        </w:numPr>
        <w:rPr>
          <w:rFonts w:asciiTheme="minorHAnsi" w:hAnsiTheme="minorHAnsi"/>
          <w:sz w:val="20"/>
          <w:szCs w:val="20"/>
        </w:rPr>
      </w:pPr>
      <w:r w:rsidRPr="008D5386">
        <w:rPr>
          <w:rFonts w:asciiTheme="minorHAnsi" w:hAnsiTheme="minorHAnsi"/>
          <w:sz w:val="20"/>
          <w:szCs w:val="20"/>
        </w:rPr>
        <w:t>USE OF MESSAGE CONTENT</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Permitted Purposes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Permitted Future Uses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Management Uses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Informed Opt Out</w:t>
      </w:r>
    </w:p>
    <w:p w:rsidR="005815F7" w:rsidRPr="008D5386" w:rsidRDefault="00E35DB7" w:rsidP="005815F7">
      <w:pPr>
        <w:pStyle w:val="Default"/>
        <w:numPr>
          <w:ilvl w:val="0"/>
          <w:numId w:val="4"/>
        </w:numPr>
        <w:rPr>
          <w:rFonts w:asciiTheme="minorHAnsi" w:hAnsiTheme="minorHAnsi"/>
          <w:sz w:val="20"/>
          <w:szCs w:val="20"/>
        </w:rPr>
      </w:pPr>
      <w:r>
        <w:rPr>
          <w:rFonts w:asciiTheme="minorHAnsi" w:hAnsiTheme="minorHAnsi"/>
          <w:sz w:val="20"/>
          <w:szCs w:val="20"/>
        </w:rPr>
        <w:t>SYSTEM ACCESSS POLICIES</w:t>
      </w:r>
    </w:p>
    <w:p w:rsidR="005815F7" w:rsidRPr="008D5386" w:rsidRDefault="00E35DB7" w:rsidP="005815F7">
      <w:pPr>
        <w:pStyle w:val="Default"/>
        <w:numPr>
          <w:ilvl w:val="0"/>
          <w:numId w:val="4"/>
        </w:numPr>
        <w:rPr>
          <w:rFonts w:asciiTheme="minorHAnsi" w:hAnsiTheme="minorHAnsi"/>
          <w:sz w:val="20"/>
          <w:szCs w:val="20"/>
        </w:rPr>
      </w:pPr>
      <w:r>
        <w:rPr>
          <w:rFonts w:asciiTheme="minorHAnsi" w:hAnsiTheme="minorHAnsi"/>
          <w:sz w:val="20"/>
          <w:szCs w:val="20"/>
        </w:rPr>
        <w:t>USE CASES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Adoption of New Use Cases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General Compliance</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Use Case</w:t>
      </w:r>
      <w:r w:rsidR="00E35DB7">
        <w:rPr>
          <w:rFonts w:asciiTheme="minorHAnsi" w:hAnsiTheme="minorHAnsi"/>
          <w:sz w:val="20"/>
          <w:szCs w:val="20"/>
        </w:rPr>
        <w:t xml:space="preserve"> Change Process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Determination of Materiality</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Non-Material Changes to Use Cases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Material Changes to Use Cases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Withdrawing from a Use Case</w:t>
      </w:r>
    </w:p>
    <w:p w:rsidR="005815F7" w:rsidRPr="008D5386" w:rsidRDefault="005815F7" w:rsidP="005815F7">
      <w:pPr>
        <w:pStyle w:val="Default"/>
        <w:numPr>
          <w:ilvl w:val="0"/>
          <w:numId w:val="4"/>
        </w:numPr>
        <w:rPr>
          <w:rFonts w:asciiTheme="minorHAnsi" w:hAnsiTheme="minorHAnsi"/>
          <w:sz w:val="20"/>
          <w:szCs w:val="20"/>
        </w:rPr>
      </w:pPr>
      <w:r w:rsidRPr="008D5386">
        <w:rPr>
          <w:rFonts w:asciiTheme="minorHAnsi" w:hAnsiTheme="minorHAnsi"/>
          <w:sz w:val="20"/>
          <w:szCs w:val="20"/>
        </w:rPr>
        <w:t>EXPECTATION OF PARTICIPANTS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lastRenderedPageBreak/>
        <w:t>Exchanging Messages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Halt to Message Exchange</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Participant Users and HSPs</w:t>
      </w:r>
    </w:p>
    <w:p w:rsidR="005815F7" w:rsidRPr="00E35DB7" w:rsidRDefault="005815F7" w:rsidP="005815F7">
      <w:pPr>
        <w:pStyle w:val="Default"/>
        <w:numPr>
          <w:ilvl w:val="1"/>
          <w:numId w:val="4"/>
        </w:numPr>
        <w:rPr>
          <w:rFonts w:asciiTheme="minorHAnsi" w:hAnsiTheme="minorHAnsi"/>
          <w:sz w:val="20"/>
          <w:szCs w:val="20"/>
        </w:rPr>
      </w:pPr>
      <w:r w:rsidRPr="00E35DB7">
        <w:rPr>
          <w:rFonts w:asciiTheme="minorHAnsi" w:hAnsiTheme="minorHAnsi"/>
          <w:sz w:val="20"/>
          <w:szCs w:val="20"/>
        </w:rPr>
        <w:t>Specific Duties of a Responding Participant</w:t>
      </w:r>
    </w:p>
    <w:p w:rsidR="005815F7" w:rsidRPr="008D5386" w:rsidRDefault="00E35DB7" w:rsidP="005815F7">
      <w:pPr>
        <w:pStyle w:val="Default"/>
        <w:numPr>
          <w:ilvl w:val="0"/>
          <w:numId w:val="4"/>
        </w:numPr>
        <w:rPr>
          <w:rFonts w:asciiTheme="minorHAnsi" w:hAnsiTheme="minorHAnsi"/>
          <w:sz w:val="20"/>
          <w:szCs w:val="20"/>
        </w:rPr>
      </w:pPr>
      <w:r>
        <w:rPr>
          <w:rFonts w:asciiTheme="minorHAnsi" w:hAnsiTheme="minorHAnsi"/>
          <w:sz w:val="20"/>
          <w:szCs w:val="20"/>
        </w:rPr>
        <w:t>REPRESENTATIONS AND WARRANTIES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Accurate Information</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 xml:space="preserve">Execution </w:t>
      </w:r>
      <w:r w:rsidR="00E35DB7">
        <w:rPr>
          <w:rFonts w:asciiTheme="minorHAnsi" w:hAnsiTheme="minorHAnsi"/>
          <w:sz w:val="20"/>
          <w:szCs w:val="20"/>
        </w:rPr>
        <w:t>of this Agreement and Use Cases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Compliance with this Agreement</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Compliance with Use Cases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Accuracy of Message Content</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 xml:space="preserve">Express Warranty of Authority to </w:t>
      </w:r>
      <w:r w:rsidR="00E35DB7">
        <w:rPr>
          <w:rFonts w:asciiTheme="minorHAnsi" w:hAnsiTheme="minorHAnsi"/>
          <w:sz w:val="20"/>
          <w:szCs w:val="20"/>
        </w:rPr>
        <w:t>Transmit Message Content</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Express Warranty of Autho</w:t>
      </w:r>
      <w:r w:rsidR="00E35DB7">
        <w:rPr>
          <w:rFonts w:asciiTheme="minorHAnsi" w:hAnsiTheme="minorHAnsi"/>
          <w:sz w:val="20"/>
          <w:szCs w:val="20"/>
        </w:rPr>
        <w:t>rity to Request Message Content</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Use of Message Content</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Compliance with Laws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Ag</w:t>
      </w:r>
      <w:r w:rsidR="00E35DB7">
        <w:rPr>
          <w:rFonts w:asciiTheme="minorHAnsi" w:hAnsiTheme="minorHAnsi"/>
          <w:sz w:val="20"/>
          <w:szCs w:val="20"/>
        </w:rPr>
        <w:t>reements with Participant Users</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Agreement with Technology Partners</w:t>
      </w:r>
    </w:p>
    <w:p w:rsidR="005815F7" w:rsidRPr="008D5386" w:rsidRDefault="00E35DB7" w:rsidP="005815F7">
      <w:pPr>
        <w:pStyle w:val="Default"/>
        <w:numPr>
          <w:ilvl w:val="0"/>
          <w:numId w:val="4"/>
        </w:numPr>
        <w:rPr>
          <w:rFonts w:asciiTheme="minorHAnsi" w:hAnsiTheme="minorHAnsi"/>
          <w:sz w:val="20"/>
          <w:szCs w:val="20"/>
        </w:rPr>
      </w:pPr>
      <w:r>
        <w:rPr>
          <w:rFonts w:asciiTheme="minorHAnsi" w:hAnsiTheme="minorHAnsi"/>
          <w:sz w:val="20"/>
          <w:szCs w:val="20"/>
        </w:rPr>
        <w:t>DISCLAIMERS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Reliance on a System</w:t>
      </w:r>
    </w:p>
    <w:p w:rsidR="005815F7" w:rsidRPr="008D5386" w:rsidRDefault="005815F7" w:rsidP="005815F7">
      <w:pPr>
        <w:pStyle w:val="Default"/>
        <w:numPr>
          <w:ilvl w:val="1"/>
          <w:numId w:val="4"/>
        </w:numPr>
        <w:rPr>
          <w:rFonts w:asciiTheme="minorHAnsi" w:hAnsiTheme="minorHAnsi"/>
          <w:sz w:val="20"/>
          <w:szCs w:val="20"/>
        </w:rPr>
      </w:pPr>
      <w:r w:rsidRPr="008D5386">
        <w:rPr>
          <w:rFonts w:asciiTheme="minorHAnsi" w:hAnsiTheme="minorHAnsi"/>
          <w:sz w:val="20"/>
          <w:szCs w:val="20"/>
        </w:rPr>
        <w:t>Performance of the HIE</w:t>
      </w:r>
      <w:r w:rsidR="00E35DB7">
        <w:rPr>
          <w:rFonts w:asciiTheme="minorHAnsi" w:hAnsiTheme="minorHAnsi"/>
          <w:sz w:val="20"/>
          <w:szCs w:val="20"/>
        </w:rPr>
        <w:t xml:space="preserve"> Platform</w:t>
      </w:r>
    </w:p>
    <w:p w:rsidR="005815F7" w:rsidRPr="008D5386" w:rsidRDefault="005815F7" w:rsidP="005815F7">
      <w:pPr>
        <w:pStyle w:val="Default"/>
        <w:numPr>
          <w:ilvl w:val="0"/>
          <w:numId w:val="4"/>
        </w:numPr>
        <w:rPr>
          <w:rFonts w:asciiTheme="minorHAnsi" w:hAnsiTheme="minorHAnsi"/>
          <w:sz w:val="20"/>
          <w:szCs w:val="20"/>
        </w:rPr>
      </w:pPr>
      <w:r w:rsidRPr="008D5386">
        <w:rPr>
          <w:rFonts w:asciiTheme="minorHAnsi" w:hAnsiTheme="minorHAnsi"/>
          <w:sz w:val="20"/>
          <w:szCs w:val="20"/>
        </w:rPr>
        <w:t>TERM AND TERMINATION</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Term</w:t>
      </w:r>
    </w:p>
    <w:p w:rsidR="005815F7" w:rsidRPr="00E35DB7" w:rsidRDefault="005815F7" w:rsidP="005815F7">
      <w:pPr>
        <w:pStyle w:val="Default"/>
        <w:numPr>
          <w:ilvl w:val="1"/>
          <w:numId w:val="4"/>
        </w:numPr>
        <w:rPr>
          <w:rFonts w:asciiTheme="minorHAnsi" w:hAnsiTheme="minorHAnsi"/>
          <w:sz w:val="20"/>
          <w:szCs w:val="20"/>
        </w:rPr>
      </w:pPr>
      <w:r w:rsidRPr="00E35DB7">
        <w:rPr>
          <w:rFonts w:asciiTheme="minorHAnsi" w:hAnsiTheme="minorHAnsi"/>
          <w:sz w:val="20"/>
          <w:szCs w:val="20"/>
        </w:rPr>
        <w:t>Disposition of M</w:t>
      </w:r>
      <w:r w:rsidR="00E35DB7">
        <w:rPr>
          <w:rFonts w:asciiTheme="minorHAnsi" w:hAnsiTheme="minorHAnsi"/>
          <w:sz w:val="20"/>
          <w:szCs w:val="20"/>
        </w:rPr>
        <w:t>essage Content Upon Termination</w:t>
      </w:r>
    </w:p>
    <w:p w:rsidR="005815F7" w:rsidRPr="008D5386" w:rsidRDefault="005815F7" w:rsidP="005815F7">
      <w:pPr>
        <w:pStyle w:val="Default"/>
        <w:numPr>
          <w:ilvl w:val="0"/>
          <w:numId w:val="4"/>
        </w:numPr>
        <w:rPr>
          <w:rFonts w:asciiTheme="minorHAnsi" w:hAnsiTheme="minorHAnsi"/>
          <w:sz w:val="20"/>
          <w:szCs w:val="20"/>
        </w:rPr>
      </w:pPr>
      <w:r w:rsidRPr="008D5386">
        <w:rPr>
          <w:rFonts w:asciiTheme="minorHAnsi" w:hAnsiTheme="minorHAnsi"/>
          <w:sz w:val="20"/>
          <w:szCs w:val="20"/>
        </w:rPr>
        <w:t>MISCELLANEOUS PROVISIONS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Notices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Effect of Agreement</w:t>
      </w:r>
    </w:p>
    <w:p w:rsidR="00E35DB7" w:rsidRDefault="00E35DB7" w:rsidP="00E35DB7">
      <w:pPr>
        <w:pStyle w:val="Default"/>
        <w:numPr>
          <w:ilvl w:val="1"/>
          <w:numId w:val="4"/>
        </w:numPr>
        <w:rPr>
          <w:rFonts w:asciiTheme="minorHAnsi" w:hAnsiTheme="minorHAnsi"/>
          <w:sz w:val="20"/>
          <w:szCs w:val="20"/>
        </w:rPr>
      </w:pPr>
      <w:r>
        <w:rPr>
          <w:rFonts w:asciiTheme="minorHAnsi" w:hAnsiTheme="minorHAnsi"/>
          <w:sz w:val="20"/>
          <w:szCs w:val="20"/>
        </w:rPr>
        <w:t>Assignment</w:t>
      </w:r>
    </w:p>
    <w:p w:rsidR="005815F7" w:rsidRPr="00E35DB7" w:rsidRDefault="00E35DB7" w:rsidP="00E35DB7">
      <w:pPr>
        <w:pStyle w:val="Default"/>
        <w:numPr>
          <w:ilvl w:val="1"/>
          <w:numId w:val="4"/>
        </w:numPr>
        <w:rPr>
          <w:rFonts w:asciiTheme="minorHAnsi" w:hAnsiTheme="minorHAnsi"/>
          <w:sz w:val="20"/>
          <w:szCs w:val="20"/>
        </w:rPr>
      </w:pPr>
      <w:r>
        <w:rPr>
          <w:rFonts w:asciiTheme="minorHAnsi" w:hAnsiTheme="minorHAnsi"/>
          <w:sz w:val="20"/>
          <w:szCs w:val="20"/>
        </w:rPr>
        <w:t>Survival</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Entire Agreement</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Headings</w:t>
      </w:r>
    </w:p>
    <w:p w:rsidR="005815F7" w:rsidRPr="008D5386" w:rsidRDefault="00E35DB7" w:rsidP="005815F7">
      <w:pPr>
        <w:pStyle w:val="Default"/>
        <w:numPr>
          <w:ilvl w:val="1"/>
          <w:numId w:val="4"/>
        </w:numPr>
        <w:rPr>
          <w:rFonts w:asciiTheme="minorHAnsi" w:hAnsiTheme="minorHAnsi"/>
          <w:sz w:val="20"/>
          <w:szCs w:val="20"/>
        </w:rPr>
      </w:pPr>
      <w:r>
        <w:rPr>
          <w:rFonts w:asciiTheme="minorHAnsi" w:hAnsiTheme="minorHAnsi"/>
          <w:sz w:val="20"/>
          <w:szCs w:val="20"/>
        </w:rPr>
        <w:t>Relation of the Participants</w:t>
      </w:r>
    </w:p>
    <w:p w:rsidR="005815F7" w:rsidRPr="00EF7920" w:rsidRDefault="005815F7" w:rsidP="005815F7">
      <w:pPr>
        <w:pStyle w:val="Default"/>
        <w:rPr>
          <w:b/>
        </w:rPr>
      </w:pPr>
      <w:r w:rsidRPr="00EF7920">
        <w:rPr>
          <w:b/>
        </w:rPr>
        <w:tab/>
      </w:r>
    </w:p>
    <w:p w:rsidR="005815F7" w:rsidRDefault="005815F7" w:rsidP="008D5386">
      <w:r>
        <w:t>In the BAA and the DUA between the HCP and APHL</w:t>
      </w:r>
      <w:r w:rsidR="008D5386">
        <w:t>,</w:t>
      </w:r>
      <w:r>
        <w:t xml:space="preserve"> there will need to be references to the reportable, communicable or infectious diseases</w:t>
      </w:r>
      <w:r>
        <w:rPr>
          <w:rStyle w:val="FootnoteReference"/>
          <w:bCs/>
        </w:rPr>
        <w:footnoteReference w:id="1"/>
      </w:r>
      <w:r>
        <w:t>. The following statutes or regulations are included and made a part of this memorandum by attachment</w:t>
      </w:r>
      <w:r>
        <w:rPr>
          <w:rStyle w:val="FootnoteReference"/>
          <w:bCs/>
        </w:rPr>
        <w:footnoteReference w:id="2"/>
      </w:r>
      <w:r>
        <w:t xml:space="preserve">. </w:t>
      </w:r>
    </w:p>
    <w:p w:rsidR="005815F7" w:rsidRDefault="005815F7" w:rsidP="008D5386">
      <w:pPr>
        <w:rPr>
          <w:b/>
        </w:rPr>
      </w:pPr>
    </w:p>
    <w:p w:rsidR="005815F7" w:rsidRPr="00C97B37" w:rsidRDefault="005815F7" w:rsidP="008D5386">
      <w:pPr>
        <w:rPr>
          <w:b/>
        </w:rPr>
      </w:pPr>
      <w:r w:rsidRPr="00C97B37">
        <w:rPr>
          <w:b/>
        </w:rPr>
        <w:t>CALIFORNIA</w:t>
      </w:r>
    </w:p>
    <w:p w:rsidR="005815F7" w:rsidRDefault="005815F7" w:rsidP="008D5386">
      <w:r>
        <w:t>CA HLTH &amp; S §120130, California, list of reportable diseases</w:t>
      </w:r>
    </w:p>
    <w:p w:rsidR="005815F7" w:rsidRDefault="005815F7" w:rsidP="008D5386">
      <w:r>
        <w:t>17 CA ADC §2500, California Reporting to the Local Health Authority</w:t>
      </w:r>
    </w:p>
    <w:p w:rsidR="005815F7" w:rsidRDefault="005815F7" w:rsidP="008D5386"/>
    <w:p w:rsidR="005815F7" w:rsidRDefault="005815F7" w:rsidP="008D5386">
      <w:pPr>
        <w:rPr>
          <w:b/>
        </w:rPr>
      </w:pPr>
      <w:r>
        <w:rPr>
          <w:b/>
        </w:rPr>
        <w:t>TEXAS</w:t>
      </w:r>
    </w:p>
    <w:p w:rsidR="005815F7" w:rsidRDefault="005815F7" w:rsidP="008D5386">
      <w:r>
        <w:t>TX HEALTH &amp; S §81.041, Texas Reportable Diseases</w:t>
      </w:r>
    </w:p>
    <w:p w:rsidR="005815F7" w:rsidRDefault="005815F7" w:rsidP="008D5386">
      <w:r>
        <w:t>TX HEALTH &amp; S §81.042, Texas Persons Required to Report</w:t>
      </w:r>
    </w:p>
    <w:p w:rsidR="005815F7" w:rsidRDefault="005815F7" w:rsidP="008D5386">
      <w:r>
        <w:t>TX HEALTH &amp; S §81.043 Texas Records and Reports of Health Authority</w:t>
      </w:r>
    </w:p>
    <w:p w:rsidR="005815F7" w:rsidRDefault="005815F7" w:rsidP="008D5386">
      <w:r>
        <w:lastRenderedPageBreak/>
        <w:t>TX HEALTH &amp; S §81.044 Texas Reporting Procedures</w:t>
      </w:r>
    </w:p>
    <w:p w:rsidR="005815F7" w:rsidRDefault="005815F7" w:rsidP="008D5386">
      <w:r>
        <w:t>TX HEALTH &amp; S §81.046 Texas Confidentiality Statute</w:t>
      </w:r>
    </w:p>
    <w:p w:rsidR="005815F7" w:rsidRDefault="005815F7" w:rsidP="008D5386"/>
    <w:p w:rsidR="005815F7" w:rsidRDefault="005815F7" w:rsidP="008D5386">
      <w:pPr>
        <w:rPr>
          <w:b/>
        </w:rPr>
      </w:pPr>
      <w:r>
        <w:rPr>
          <w:b/>
        </w:rPr>
        <w:t>KANSAS</w:t>
      </w:r>
    </w:p>
    <w:p w:rsidR="005815F7" w:rsidRPr="00D7217C" w:rsidRDefault="005815F7" w:rsidP="008D5386">
      <w:r w:rsidRPr="00D7217C">
        <w:t>K.S.A</w:t>
      </w:r>
      <w:r>
        <w:t xml:space="preserve"> §65-128, Kansas Reportable Diseases for Health Care Providers</w:t>
      </w:r>
    </w:p>
    <w:p w:rsidR="005815F7" w:rsidRDefault="005815F7" w:rsidP="008D5386">
      <w:r w:rsidRPr="00D7217C">
        <w:t>K.S.A</w:t>
      </w:r>
      <w:r>
        <w:t xml:space="preserve"> §§65-6001-65-6007</w:t>
      </w:r>
    </w:p>
    <w:p w:rsidR="005815F7" w:rsidRDefault="005815F7" w:rsidP="008D5386">
      <w:r>
        <w:t>K.A.R. 28-1-2, 28-1-4, and 28-1-18</w:t>
      </w:r>
    </w:p>
    <w:p w:rsidR="005815F7" w:rsidRDefault="005815F7" w:rsidP="008D5386">
      <w:r w:rsidRPr="00D7217C">
        <w:t>K.S.A</w:t>
      </w:r>
      <w:r>
        <w:t xml:space="preserve"> §65-6828, Kansas controlling law on confidentiality of protected health information</w:t>
      </w:r>
    </w:p>
    <w:p w:rsidR="005815F7" w:rsidRDefault="005815F7" w:rsidP="008D5386">
      <w:r w:rsidRPr="00D7217C">
        <w:t>K.S.A</w:t>
      </w:r>
      <w:r>
        <w:t xml:space="preserve"> §65-6829, Kansas disclosure of protected health information, when required or permitted</w:t>
      </w:r>
    </w:p>
    <w:p w:rsidR="005815F7" w:rsidRDefault="005815F7" w:rsidP="008D5386">
      <w:r w:rsidRPr="00D7217C">
        <w:t>K.S.A</w:t>
      </w:r>
      <w:r>
        <w:t xml:space="preserve"> §65-6822, Kansas health information technology act</w:t>
      </w:r>
    </w:p>
    <w:p w:rsidR="005815F7" w:rsidRDefault="005815F7" w:rsidP="008D5386"/>
    <w:p w:rsidR="005815F7" w:rsidRDefault="005815F7" w:rsidP="008D5386">
      <w:pPr>
        <w:rPr>
          <w:b/>
        </w:rPr>
      </w:pPr>
      <w:r>
        <w:rPr>
          <w:b/>
        </w:rPr>
        <w:t>MASSACHUSETTS</w:t>
      </w:r>
    </w:p>
    <w:p w:rsidR="005815F7" w:rsidRDefault="005815F7" w:rsidP="008D5386">
      <w:r w:rsidRPr="00611D4D">
        <w:t>105 MA ADC 300.</w:t>
      </w:r>
      <w:r>
        <w:t xml:space="preserve">020, Massachusetts Definitions </w:t>
      </w:r>
    </w:p>
    <w:p w:rsidR="005815F7" w:rsidRDefault="005815F7" w:rsidP="008D5386">
      <w:r w:rsidRPr="00611D4D">
        <w:t>105 MA ADC 300.100, Massachusetts</w:t>
      </w:r>
      <w:r>
        <w:t xml:space="preserve"> Diseases Reportable to Local Boards of Health</w:t>
      </w:r>
    </w:p>
    <w:p w:rsidR="005815F7" w:rsidRDefault="005815F7" w:rsidP="008D5386">
      <w:r w:rsidRPr="00611D4D">
        <w:t>105 MA ADC 300</w:t>
      </w:r>
      <w:r>
        <w:t>.110</w:t>
      </w:r>
      <w:r>
        <w:rPr>
          <w:rStyle w:val="FootnoteReference"/>
          <w:bCs/>
        </w:rPr>
        <w:footnoteReference w:id="3"/>
      </w:r>
      <w:r>
        <w:t xml:space="preserve">, </w:t>
      </w:r>
      <w:r w:rsidRPr="00611D4D">
        <w:t>Massachusetts</w:t>
      </w:r>
      <w:r>
        <w:t xml:space="preserve"> Case Reports by Local Boards of Hea</w:t>
      </w:r>
      <w:r w:rsidR="00E35DB7">
        <w:t>lth to the Department of Health</w:t>
      </w:r>
    </w:p>
    <w:p w:rsidR="005815F7" w:rsidRDefault="005815F7" w:rsidP="008D5386">
      <w:r w:rsidRPr="00611D4D">
        <w:t>105 MA ADC 300</w:t>
      </w:r>
      <w:r>
        <w:t>.120, Massachusetts Confidentiality</w:t>
      </w:r>
    </w:p>
    <w:p w:rsidR="005815F7" w:rsidRDefault="005815F7" w:rsidP="008D5386">
      <w:r>
        <w:t xml:space="preserve"> </w:t>
      </w:r>
      <w:r w:rsidRPr="00611D4D">
        <w:t>105 MA ADC 300.</w:t>
      </w:r>
      <w:r>
        <w:t>160, Diseases Reportable by Local Boar</w:t>
      </w:r>
      <w:r w:rsidR="00E35DB7">
        <w:t>ds of Health to the Department</w:t>
      </w:r>
    </w:p>
    <w:p w:rsidR="005815F7" w:rsidRDefault="005815F7" w:rsidP="008D5386"/>
    <w:p w:rsidR="005815F7" w:rsidRDefault="005815F7" w:rsidP="008D5386">
      <w:pPr>
        <w:rPr>
          <w:b/>
        </w:rPr>
      </w:pPr>
      <w:r>
        <w:rPr>
          <w:b/>
        </w:rPr>
        <w:t>MICHIGAN</w:t>
      </w:r>
    </w:p>
    <w:p w:rsidR="005815F7" w:rsidRDefault="005815F7" w:rsidP="008D5386">
      <w:r>
        <w:t>MCL 333.5111, Michigan Disease Reporting</w:t>
      </w:r>
    </w:p>
    <w:p w:rsidR="005815F7" w:rsidRDefault="00E35DB7" w:rsidP="008D5386">
      <w:r>
        <w:t>R 325.173</w:t>
      </w:r>
    </w:p>
    <w:p w:rsidR="005815F7" w:rsidRDefault="005815F7" w:rsidP="008D5386">
      <w:r>
        <w:t>MCL 333.2221, Michigan Department of Health general authority</w:t>
      </w:r>
    </w:p>
    <w:p w:rsidR="005815F7" w:rsidRDefault="005815F7" w:rsidP="008D5386">
      <w:r>
        <w:t>MCL 333.2226, Michigan Department of Health powers</w:t>
      </w:r>
    </w:p>
    <w:p w:rsidR="005815F7" w:rsidRDefault="005815F7" w:rsidP="008D5386">
      <w:r>
        <w:t>MCL 333.5111</w:t>
      </w:r>
    </w:p>
    <w:p w:rsidR="005815F7" w:rsidRDefault="005815F7" w:rsidP="008D5386">
      <w:r>
        <w:t>MCL 333.5114</w:t>
      </w:r>
    </w:p>
    <w:p w:rsidR="005815F7" w:rsidRDefault="005815F7" w:rsidP="008D5386"/>
    <w:p w:rsidR="005815F7" w:rsidRDefault="005815F7" w:rsidP="008D5386">
      <w:pPr>
        <w:rPr>
          <w:b/>
        </w:rPr>
      </w:pPr>
      <w:r>
        <w:rPr>
          <w:b/>
        </w:rPr>
        <w:t>NEW YORK</w:t>
      </w:r>
    </w:p>
    <w:p w:rsidR="005815F7" w:rsidRDefault="005815F7" w:rsidP="008D5386">
      <w:r>
        <w:t>NY PUB HEALTH §2139, New York Commissioner Duty to promulgate rules and regulations</w:t>
      </w:r>
    </w:p>
    <w:p w:rsidR="005815F7" w:rsidRDefault="005815F7" w:rsidP="008D5386">
      <w:r>
        <w:t>NY PUB HEALTH §2101, New York Communicable Diseases physicians duty to report</w:t>
      </w:r>
    </w:p>
    <w:p w:rsidR="005815F7" w:rsidRDefault="005815F7" w:rsidP="008D5386">
      <w:r>
        <w:t>NY PUB HEALTH §2102, New York Communicable Diseases laboratory duty to report</w:t>
      </w:r>
    </w:p>
    <w:p w:rsidR="005815F7" w:rsidRDefault="005815F7" w:rsidP="008D5386">
      <w:r>
        <w:t>NY PUB HEALTH §2103, New York Communicable Diseases duty of Local Health Officers to report</w:t>
      </w:r>
    </w:p>
    <w:p w:rsidR="005815F7" w:rsidRDefault="005815F7" w:rsidP="008D5386">
      <w:r>
        <w:t>NY PUB HEALTH §2104, New York Communicable Diseases duty of municipalities within a county or part-county health district to report</w:t>
      </w:r>
    </w:p>
    <w:p w:rsidR="005815F7" w:rsidRDefault="005815F7" w:rsidP="008D5386">
      <w:r>
        <w:t>NY PUB HEALTH §2105, New York Communicable Diseases duty to report</w:t>
      </w:r>
    </w:p>
    <w:p w:rsidR="005815F7" w:rsidRDefault="005815F7" w:rsidP="008D5386"/>
    <w:p w:rsidR="005815F7" w:rsidRDefault="005815F7" w:rsidP="008D5386">
      <w:pPr>
        <w:rPr>
          <w:b/>
        </w:rPr>
      </w:pPr>
      <w:r>
        <w:rPr>
          <w:b/>
        </w:rPr>
        <w:t>CALIFORNIA</w:t>
      </w:r>
    </w:p>
    <w:p w:rsidR="005815F7" w:rsidRDefault="005815F7" w:rsidP="008D5386">
      <w:r w:rsidRPr="00FA24DF">
        <w:t>CA HLTH &amp; S §120130, California reportable diseases</w:t>
      </w:r>
    </w:p>
    <w:p w:rsidR="005815F7" w:rsidRDefault="005815F7" w:rsidP="008D5386">
      <w:r>
        <w:lastRenderedPageBreak/>
        <w:t>17 CA ADC §2500, California reporting to the Local Health Authority</w:t>
      </w:r>
    </w:p>
    <w:p w:rsidR="005815F7" w:rsidRPr="00FA24DF" w:rsidRDefault="005815F7" w:rsidP="005815F7">
      <w:pPr>
        <w:pStyle w:val="Default"/>
      </w:pPr>
    </w:p>
    <w:p w:rsidR="005815F7" w:rsidRPr="00FA24DF" w:rsidRDefault="005815F7" w:rsidP="008D5386">
      <w:pPr>
        <w:pStyle w:val="Heading2"/>
      </w:pPr>
      <w:r w:rsidRPr="00FA24DF">
        <w:t>B. State</w:t>
      </w:r>
      <w:r>
        <w:t xml:space="preserve"> Agency</w:t>
      </w:r>
      <w:r w:rsidRPr="00FA24DF">
        <w:t xml:space="preserve"> to Intermediary </w:t>
      </w:r>
    </w:p>
    <w:p w:rsidR="005815F7" w:rsidRPr="006B1ADB" w:rsidRDefault="005815F7" w:rsidP="005815F7">
      <w:pPr>
        <w:pStyle w:val="Default"/>
        <w:rPr>
          <w:sz w:val="23"/>
          <w:szCs w:val="23"/>
        </w:rPr>
      </w:pPr>
    </w:p>
    <w:p w:rsidR="005815F7" w:rsidRDefault="005815F7" w:rsidP="008D5386">
      <w:pPr>
        <w:pStyle w:val="Heading3"/>
      </w:pPr>
      <w:r w:rsidRPr="00DE4D3A">
        <w:t>Memorandum of Understanding</w:t>
      </w:r>
      <w:r>
        <w:t xml:space="preserve"> (“MOU”) with a Trading Partner Agreement (“TPA”)</w:t>
      </w:r>
    </w:p>
    <w:p w:rsidR="005815F7" w:rsidRDefault="005815F7" w:rsidP="008D5386">
      <w:pPr>
        <w:spacing w:after="240"/>
      </w:pPr>
      <w:r>
        <w:t>The agreements between APHL and the State Agency should include terms from both a MOU and a TPA. The terms of the MOU include:</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Purpose</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Background</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Definitions</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Project/Opportunity</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Joint Responsibilities of the Parties</w:t>
      </w:r>
    </w:p>
    <w:p w:rsidR="005815F7" w:rsidRPr="008D5386" w:rsidRDefault="005815F7" w:rsidP="005815F7">
      <w:pPr>
        <w:pStyle w:val="Default"/>
        <w:numPr>
          <w:ilvl w:val="1"/>
          <w:numId w:val="5"/>
        </w:numPr>
        <w:rPr>
          <w:rFonts w:asciiTheme="minorHAnsi" w:hAnsiTheme="minorHAnsi"/>
          <w:sz w:val="20"/>
          <w:szCs w:val="20"/>
        </w:rPr>
      </w:pPr>
      <w:r w:rsidRPr="008D5386">
        <w:rPr>
          <w:rFonts w:asciiTheme="minorHAnsi" w:hAnsiTheme="minorHAnsi"/>
          <w:sz w:val="20"/>
          <w:szCs w:val="20"/>
        </w:rPr>
        <w:t>Data Sharing</w:t>
      </w:r>
    </w:p>
    <w:p w:rsidR="005815F7" w:rsidRPr="008D5386" w:rsidRDefault="005815F7" w:rsidP="005815F7">
      <w:pPr>
        <w:pStyle w:val="Default"/>
        <w:numPr>
          <w:ilvl w:val="1"/>
          <w:numId w:val="5"/>
        </w:numPr>
        <w:rPr>
          <w:rFonts w:asciiTheme="minorHAnsi" w:hAnsiTheme="minorHAnsi"/>
          <w:sz w:val="20"/>
          <w:szCs w:val="20"/>
        </w:rPr>
      </w:pPr>
      <w:r w:rsidRPr="008D5386">
        <w:rPr>
          <w:rFonts w:asciiTheme="minorHAnsi" w:hAnsiTheme="minorHAnsi"/>
          <w:sz w:val="20"/>
          <w:szCs w:val="20"/>
        </w:rPr>
        <w:t>Data Set Access and Use</w:t>
      </w:r>
    </w:p>
    <w:p w:rsidR="005815F7" w:rsidRPr="008D5386" w:rsidRDefault="005815F7" w:rsidP="005815F7">
      <w:pPr>
        <w:pStyle w:val="Default"/>
        <w:numPr>
          <w:ilvl w:val="1"/>
          <w:numId w:val="5"/>
        </w:numPr>
        <w:rPr>
          <w:rFonts w:asciiTheme="minorHAnsi" w:hAnsiTheme="minorHAnsi"/>
          <w:sz w:val="20"/>
          <w:szCs w:val="20"/>
        </w:rPr>
      </w:pPr>
      <w:r w:rsidRPr="008D5386">
        <w:rPr>
          <w:rFonts w:asciiTheme="minorHAnsi" w:hAnsiTheme="minorHAnsi"/>
          <w:sz w:val="20"/>
          <w:szCs w:val="20"/>
        </w:rPr>
        <w:t>Data Set Content Restriction and Requirements</w:t>
      </w:r>
    </w:p>
    <w:p w:rsidR="005815F7" w:rsidRPr="008D5386" w:rsidRDefault="005815F7" w:rsidP="005815F7">
      <w:pPr>
        <w:pStyle w:val="Default"/>
        <w:numPr>
          <w:ilvl w:val="1"/>
          <w:numId w:val="5"/>
        </w:numPr>
        <w:rPr>
          <w:rFonts w:asciiTheme="minorHAnsi" w:hAnsiTheme="minorHAnsi"/>
          <w:sz w:val="20"/>
          <w:szCs w:val="20"/>
        </w:rPr>
      </w:pPr>
      <w:r w:rsidRPr="008D5386">
        <w:rPr>
          <w:rFonts w:asciiTheme="minorHAnsi" w:hAnsiTheme="minorHAnsi"/>
          <w:sz w:val="20"/>
          <w:szCs w:val="20"/>
        </w:rPr>
        <w:t xml:space="preserve">Confidentiality and De-Identification/Encryption of Data </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APHL Role and Responsibilities</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Agency Role and Responsibilities</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Open Records Laws</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Data Retention/ Data Security</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Term and Termination</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Ownership of Data</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Warranties</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Indemnification</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Limitation of Liability</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Amendment; Waiver</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Severability</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Entire Agreement; No Assignment</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Governing Law</w:t>
      </w:r>
    </w:p>
    <w:p w:rsidR="005815F7" w:rsidRPr="008D5386" w:rsidRDefault="005815F7" w:rsidP="005815F7">
      <w:pPr>
        <w:pStyle w:val="Default"/>
        <w:numPr>
          <w:ilvl w:val="0"/>
          <w:numId w:val="5"/>
        </w:numPr>
        <w:rPr>
          <w:rFonts w:asciiTheme="minorHAnsi" w:hAnsiTheme="minorHAnsi"/>
          <w:sz w:val="20"/>
          <w:szCs w:val="20"/>
        </w:rPr>
      </w:pPr>
      <w:r w:rsidRPr="008D5386">
        <w:rPr>
          <w:rFonts w:asciiTheme="minorHAnsi" w:hAnsiTheme="minorHAnsi"/>
          <w:sz w:val="20"/>
          <w:szCs w:val="20"/>
        </w:rPr>
        <w:t>Notices</w:t>
      </w:r>
    </w:p>
    <w:p w:rsidR="005815F7" w:rsidRDefault="005815F7" w:rsidP="005815F7">
      <w:pPr>
        <w:pStyle w:val="Default"/>
        <w:rPr>
          <w:b/>
        </w:rPr>
      </w:pPr>
    </w:p>
    <w:p w:rsidR="005815F7" w:rsidRDefault="005815F7" w:rsidP="008D5386">
      <w:pPr>
        <w:pStyle w:val="Heading3"/>
      </w:pPr>
      <w:r w:rsidRPr="0058101F">
        <w:t>Trading Partner Agreement</w:t>
      </w:r>
      <w:r>
        <w:t xml:space="preserve"> (“TPA”)</w:t>
      </w:r>
    </w:p>
    <w:p w:rsidR="005815F7" w:rsidRPr="00FA213F" w:rsidRDefault="005815F7" w:rsidP="008D5386">
      <w:r w:rsidRPr="00FA213F">
        <w:t>In some instances, specifically Massachusetts</w:t>
      </w:r>
      <w:r w:rsidR="00E35DB7">
        <w:t>,</w:t>
      </w:r>
      <w:r w:rsidRPr="00FA213F">
        <w:t xml:space="preserve"> a TPA may be </w:t>
      </w:r>
      <w:r w:rsidR="00E35DB7">
        <w:t>used</w:t>
      </w:r>
      <w:r w:rsidRPr="00FA213F">
        <w:t xml:space="preserve"> between APHL and Massachusetts Department of Health. </w:t>
      </w:r>
      <w:r w:rsidR="00E35DB7">
        <w:t>An example of this agreement</w:t>
      </w:r>
      <w:r w:rsidRPr="00FA213F">
        <w:t xml:space="preserve"> is attached to this document and included in the Massachusetts laws.</w:t>
      </w:r>
    </w:p>
    <w:p w:rsidR="005815F7" w:rsidRPr="00FA213F" w:rsidRDefault="005815F7" w:rsidP="005815F7">
      <w:pPr>
        <w:pStyle w:val="Default"/>
      </w:pPr>
      <w:r w:rsidRPr="00FA213F">
        <w:t xml:space="preserve"> </w:t>
      </w:r>
    </w:p>
    <w:p w:rsidR="005815F7" w:rsidRPr="00FA213F" w:rsidRDefault="005815F7" w:rsidP="008D5386">
      <w:pPr>
        <w:pStyle w:val="Heading2"/>
      </w:pPr>
      <w:r w:rsidRPr="00FA213F">
        <w:t xml:space="preserve">C. APHL and the Health Information Network </w:t>
      </w:r>
    </w:p>
    <w:p w:rsidR="005815F7" w:rsidRPr="00FA213F" w:rsidRDefault="005815F7" w:rsidP="008D5386">
      <w:r w:rsidRPr="00FA213F">
        <w:t>In most instances APHL will have to enter into Qualified Data Sharing Organization Agreements and</w:t>
      </w:r>
      <w:r w:rsidR="00E35DB7">
        <w:t xml:space="preserve"> a</w:t>
      </w:r>
      <w:r w:rsidRPr="00FA213F">
        <w:t xml:space="preserve"> DUA with the State Health Information Network. The State of Michigan has the best illustration of the necessary agreements needed to work through the Health Information Network in a State.</w:t>
      </w:r>
    </w:p>
    <w:p w:rsidR="005815F7" w:rsidRPr="00FA213F" w:rsidRDefault="005815F7" w:rsidP="005815F7">
      <w:pPr>
        <w:pStyle w:val="Default"/>
        <w:rPr>
          <w:bCs/>
        </w:rPr>
      </w:pPr>
    </w:p>
    <w:p w:rsidR="005815F7" w:rsidRPr="00FA213F" w:rsidRDefault="005815F7" w:rsidP="008D5386">
      <w:pPr>
        <w:pStyle w:val="Heading3"/>
      </w:pPr>
      <w:r w:rsidRPr="00FA213F">
        <w:t>Qualified Data Sharing Organization Agreement (“QDSOA”)</w:t>
      </w:r>
    </w:p>
    <w:p w:rsidR="005815F7" w:rsidRPr="00FA213F" w:rsidRDefault="005815F7" w:rsidP="008D5386">
      <w:r w:rsidRPr="00FA213F">
        <w:t>Generally, the terms in this agreement are as follows:</w:t>
      </w:r>
    </w:p>
    <w:p w:rsidR="005815F7" w:rsidRPr="00FA213F" w:rsidRDefault="005815F7" w:rsidP="005815F7">
      <w:pPr>
        <w:pStyle w:val="Default"/>
        <w:rPr>
          <w:bCs/>
        </w:rPr>
      </w:pP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 xml:space="preserve">Recitals </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Definitions</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lastRenderedPageBreak/>
        <w:t>HIE Platform</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Responsibilities of Participating Organization</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Responsibilities of HIN</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Warranty</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Payment</w:t>
      </w:r>
      <w:bookmarkStart w:id="0" w:name="_GoBack"/>
      <w:bookmarkEnd w:id="0"/>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Confidentiality</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Term and Termination</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Indemnification</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Limitation of Liability</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Services</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General Terms</w:t>
      </w:r>
    </w:p>
    <w:p w:rsidR="005815F7" w:rsidRPr="008D5386" w:rsidRDefault="005815F7" w:rsidP="005815F7">
      <w:pPr>
        <w:pStyle w:val="Default"/>
        <w:numPr>
          <w:ilvl w:val="0"/>
          <w:numId w:val="6"/>
        </w:numPr>
        <w:rPr>
          <w:rFonts w:asciiTheme="minorHAnsi" w:hAnsiTheme="minorHAnsi"/>
          <w:bCs/>
          <w:sz w:val="20"/>
          <w:szCs w:val="20"/>
        </w:rPr>
      </w:pPr>
      <w:r w:rsidRPr="008D5386">
        <w:rPr>
          <w:rFonts w:asciiTheme="minorHAnsi" w:hAnsiTheme="minorHAnsi"/>
          <w:bCs/>
          <w:sz w:val="20"/>
          <w:szCs w:val="20"/>
        </w:rPr>
        <w:t>Debarment, Suspension and Investigation</w:t>
      </w:r>
    </w:p>
    <w:p w:rsidR="005815F7" w:rsidRPr="008D5386" w:rsidRDefault="005815F7" w:rsidP="005815F7">
      <w:pPr>
        <w:pStyle w:val="Default"/>
        <w:rPr>
          <w:rFonts w:asciiTheme="minorHAnsi" w:hAnsiTheme="minorHAnsi"/>
          <w:bCs/>
          <w:sz w:val="20"/>
          <w:szCs w:val="20"/>
        </w:rPr>
      </w:pPr>
    </w:p>
    <w:p w:rsidR="005815F7" w:rsidRPr="008D5386" w:rsidRDefault="005815F7" w:rsidP="005815F7">
      <w:pPr>
        <w:pStyle w:val="Default"/>
        <w:ind w:left="360"/>
        <w:rPr>
          <w:rFonts w:asciiTheme="minorHAnsi" w:hAnsiTheme="minorHAnsi"/>
          <w:bCs/>
          <w:sz w:val="20"/>
          <w:szCs w:val="20"/>
        </w:rPr>
      </w:pPr>
      <w:r w:rsidRPr="008D5386">
        <w:rPr>
          <w:rFonts w:asciiTheme="minorHAnsi" w:hAnsiTheme="minorHAnsi"/>
          <w:bCs/>
          <w:sz w:val="20"/>
          <w:szCs w:val="20"/>
        </w:rPr>
        <w:t>Attachment A, Data Sharing Agreement</w:t>
      </w:r>
    </w:p>
    <w:p w:rsidR="005815F7" w:rsidRPr="008D5386" w:rsidRDefault="005815F7" w:rsidP="005815F7">
      <w:pPr>
        <w:pStyle w:val="Default"/>
        <w:ind w:left="360"/>
        <w:rPr>
          <w:rFonts w:asciiTheme="minorHAnsi" w:hAnsiTheme="minorHAnsi"/>
          <w:bCs/>
          <w:sz w:val="20"/>
          <w:szCs w:val="20"/>
        </w:rPr>
      </w:pPr>
      <w:r w:rsidRPr="008D5386">
        <w:rPr>
          <w:rFonts w:asciiTheme="minorHAnsi" w:hAnsiTheme="minorHAnsi"/>
          <w:bCs/>
          <w:sz w:val="20"/>
          <w:szCs w:val="20"/>
        </w:rPr>
        <w:t>Attachment B, Minimum System Requirements</w:t>
      </w:r>
    </w:p>
    <w:p w:rsidR="005815F7" w:rsidRPr="008D5386" w:rsidRDefault="005815F7" w:rsidP="005815F7">
      <w:pPr>
        <w:pStyle w:val="Default"/>
        <w:ind w:left="360"/>
        <w:rPr>
          <w:rFonts w:asciiTheme="minorHAnsi" w:hAnsiTheme="minorHAnsi"/>
          <w:bCs/>
          <w:sz w:val="20"/>
          <w:szCs w:val="20"/>
        </w:rPr>
      </w:pPr>
      <w:r w:rsidRPr="008D5386">
        <w:rPr>
          <w:rFonts w:asciiTheme="minorHAnsi" w:hAnsiTheme="minorHAnsi"/>
          <w:bCs/>
          <w:sz w:val="20"/>
          <w:szCs w:val="20"/>
        </w:rPr>
        <w:t>Attachment C, HIPAA Addendum</w:t>
      </w:r>
    </w:p>
    <w:p w:rsidR="005815F7" w:rsidRPr="008D5386" w:rsidRDefault="005815F7" w:rsidP="005815F7">
      <w:pPr>
        <w:pStyle w:val="Default"/>
        <w:ind w:left="360"/>
        <w:rPr>
          <w:rFonts w:asciiTheme="minorHAnsi" w:hAnsiTheme="minorHAnsi"/>
          <w:bCs/>
          <w:sz w:val="20"/>
          <w:szCs w:val="20"/>
        </w:rPr>
      </w:pPr>
      <w:r w:rsidRPr="008D5386">
        <w:rPr>
          <w:rFonts w:asciiTheme="minorHAnsi" w:hAnsiTheme="minorHAnsi"/>
          <w:bCs/>
          <w:sz w:val="20"/>
          <w:szCs w:val="20"/>
        </w:rPr>
        <w:t>Attachment D, Service Levels of HIE Platform</w:t>
      </w:r>
    </w:p>
    <w:p w:rsidR="005815F7" w:rsidRPr="008D5386" w:rsidRDefault="005815F7" w:rsidP="005815F7">
      <w:pPr>
        <w:pStyle w:val="Default"/>
        <w:ind w:left="360"/>
        <w:rPr>
          <w:rFonts w:asciiTheme="minorHAnsi" w:hAnsiTheme="minorHAnsi"/>
          <w:bCs/>
          <w:sz w:val="20"/>
          <w:szCs w:val="20"/>
        </w:rPr>
      </w:pPr>
      <w:r w:rsidRPr="008D5386">
        <w:rPr>
          <w:rFonts w:asciiTheme="minorHAnsi" w:hAnsiTheme="minorHAnsi"/>
          <w:bCs/>
          <w:sz w:val="20"/>
          <w:szCs w:val="20"/>
        </w:rPr>
        <w:t>Attachment E, Fees and Payment Schedule</w:t>
      </w:r>
    </w:p>
    <w:p w:rsidR="005815F7" w:rsidRPr="00FA213F" w:rsidRDefault="005815F7" w:rsidP="005815F7">
      <w:pPr>
        <w:pStyle w:val="Default"/>
        <w:ind w:left="360"/>
        <w:rPr>
          <w:b/>
          <w:bCs/>
        </w:rPr>
      </w:pPr>
    </w:p>
    <w:p w:rsidR="005815F7" w:rsidRDefault="005815F7" w:rsidP="008D5386">
      <w:pPr>
        <w:pStyle w:val="Heading2"/>
      </w:pPr>
      <w:r>
        <w:t>Conclusion</w:t>
      </w:r>
    </w:p>
    <w:p w:rsidR="005815F7" w:rsidRPr="00FA213F" w:rsidRDefault="005815F7" w:rsidP="008D5386">
      <w:r>
        <w:t>This summation in no way covers all of the laws which might be encountered in negotiating electronic case reporting with the various HCPs, Public Health Agencies and Health Information Networks. The intent of this document is to identify the various agreement</w:t>
      </w:r>
      <w:r w:rsidR="00E35DB7">
        <w:t>s</w:t>
      </w:r>
      <w:r>
        <w:t xml:space="preserve"> needed to implement electronic case reporting in an accurate and efficient way and increase surveillance and better the public’s health.</w:t>
      </w:r>
    </w:p>
    <w:p w:rsidR="005815F7" w:rsidRDefault="005815F7" w:rsidP="005815F7">
      <w:pPr>
        <w:pStyle w:val="Default"/>
        <w:ind w:firstLine="720"/>
        <w:jc w:val="center"/>
        <w:rPr>
          <w:b/>
          <w:bCs/>
          <w:sz w:val="28"/>
          <w:szCs w:val="28"/>
        </w:rPr>
      </w:pPr>
    </w:p>
    <w:p w:rsidR="005815F7" w:rsidRDefault="005815F7" w:rsidP="005815F7">
      <w:pPr>
        <w:pStyle w:val="Default"/>
        <w:ind w:firstLine="720"/>
        <w:jc w:val="center"/>
        <w:rPr>
          <w:b/>
          <w:bCs/>
          <w:sz w:val="28"/>
          <w:szCs w:val="28"/>
        </w:rPr>
      </w:pPr>
    </w:p>
    <w:p w:rsidR="005815F7" w:rsidRDefault="005815F7" w:rsidP="005815F7">
      <w:pPr>
        <w:pStyle w:val="Default"/>
        <w:ind w:firstLine="720"/>
        <w:rPr>
          <w:b/>
          <w:bCs/>
          <w:sz w:val="28"/>
          <w:szCs w:val="28"/>
        </w:rPr>
      </w:pPr>
    </w:p>
    <w:p w:rsidR="005815F7" w:rsidRDefault="005815F7" w:rsidP="005815F7">
      <w:pPr>
        <w:pStyle w:val="Default"/>
        <w:ind w:firstLine="720"/>
        <w:rPr>
          <w:b/>
          <w:bCs/>
          <w:sz w:val="28"/>
          <w:szCs w:val="28"/>
        </w:rPr>
      </w:pPr>
    </w:p>
    <w:p w:rsidR="005815F7" w:rsidRDefault="005815F7" w:rsidP="005815F7">
      <w:pPr>
        <w:pStyle w:val="Default"/>
        <w:ind w:firstLine="720"/>
        <w:rPr>
          <w:b/>
        </w:rPr>
      </w:pPr>
    </w:p>
    <w:p w:rsidR="005815F7" w:rsidRPr="00DE4D3A" w:rsidRDefault="005815F7" w:rsidP="005815F7">
      <w:pPr>
        <w:pStyle w:val="Default"/>
      </w:pPr>
    </w:p>
    <w:p w:rsidR="005815F7" w:rsidRPr="00DE4D3A" w:rsidRDefault="005815F7" w:rsidP="005815F7">
      <w:pPr>
        <w:pStyle w:val="Default"/>
      </w:pPr>
    </w:p>
    <w:p w:rsidR="005815F7" w:rsidRPr="00DE4D3A" w:rsidRDefault="005815F7" w:rsidP="005815F7">
      <w:pPr>
        <w:pStyle w:val="Default"/>
        <w:rPr>
          <w:b/>
        </w:rPr>
      </w:pPr>
    </w:p>
    <w:p w:rsidR="00EC2421" w:rsidRDefault="00EC2421" w:rsidP="00EC2421">
      <w:pPr>
        <w:pStyle w:val="Heading1"/>
      </w:pPr>
    </w:p>
    <w:sectPr w:rsidR="00EC2421" w:rsidSect="003845F3">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6E" w:rsidRDefault="00FB2F6E" w:rsidP="008B73E7">
      <w:pPr>
        <w:spacing w:line="240" w:lineRule="auto"/>
      </w:pPr>
      <w:r>
        <w:separator/>
      </w:r>
    </w:p>
  </w:endnote>
  <w:endnote w:type="continuationSeparator" w:id="0">
    <w:p w:rsidR="00FB2F6E" w:rsidRDefault="00FB2F6E" w:rsidP="008B7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C3" w:rsidRDefault="00F23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AD" w:rsidRDefault="00596DAD">
    <w:pPr>
      <w:pStyle w:val="Footer"/>
    </w:pPr>
    <w:r>
      <w:rPr>
        <w:noProof/>
      </w:rPr>
      <mc:AlternateContent>
        <mc:Choice Requires="wps">
          <w:drawing>
            <wp:anchor distT="45720" distB="45720" distL="114300" distR="114300" simplePos="0" relativeHeight="251661312" behindDoc="1" locked="0" layoutInCell="1" allowOverlap="1">
              <wp:simplePos x="0" y="0"/>
              <wp:positionH relativeFrom="page">
                <wp:posOffset>6629400</wp:posOffset>
              </wp:positionH>
              <wp:positionV relativeFrom="page">
                <wp:posOffset>9601200</wp:posOffset>
              </wp:positionV>
              <wp:extent cx="22860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noFill/>
                        <a:miter lim="800000"/>
                        <a:headEnd/>
                        <a:tailEnd/>
                      </a:ln>
                    </wps:spPr>
                    <wps:txbx>
                      <w:txbxContent>
                        <w:p w:rsidR="00596DAD" w:rsidRDefault="00596DAD" w:rsidP="00596DAD">
                          <w:pPr>
                            <w:pStyle w:val="Footer"/>
                            <w:jc w:val="right"/>
                          </w:pPr>
                          <w:r>
                            <w:fldChar w:fldCharType="begin"/>
                          </w:r>
                          <w:r>
                            <w:instrText xml:space="preserve"> PAGE   \* MERGEFORMAT </w:instrText>
                          </w:r>
                          <w:r>
                            <w:fldChar w:fldCharType="separate"/>
                          </w:r>
                          <w:r w:rsidR="00077291">
                            <w:rPr>
                              <w:noProof/>
                            </w:rPr>
                            <w:t>6</w:t>
                          </w:r>
                          <w:r>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2pt;margin-top:756pt;width:18pt;height:18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eDgIAAAoEAAAOAAAAZHJzL2Uyb0RvYy54bWysU9tu2zAMfR+wfxD0vtgx0KIz4hRdugwD&#10;ugvQ7gNoWY6FSaImKbGzrx8lJ2nRvQ3Tg0BJ5CF5eLS6nYxmB+mDQtvw5aLkTFqBnbK7hv942r67&#10;4SxEsB1otLLhRxn47frtm9XoalnhgLqTnhGIDfXoGj7E6OqiCGKQBsICnbT02KM3EOnod0XnYSR0&#10;o4uqLK+LEX3nPAoZAt3ez498nfH7Xor4re+DjEw3nGqLefd5b9NerFdQ7zy4QYlTGfAPVRhQlpJe&#10;oO4hAtt79ReUUcJjwD4uBJoC+14JmXugbpblq24eB3Ay90LkBHehKfw/WPH18N0z1TWcBmXB0Iie&#10;5BTZB5xYldgZXajJ6dGRW5zomqacOw3uAcXPwCxuBrA7eec9joOEjqpbpsjiReiMExJIO37BjtLA&#10;PmIGmnpvEnVEBiN0mtLxMplUiqDLqrq5LulF0NPJThmgPgc7H+IniYYlo+GeBp/B4fAQ4ux6dkm5&#10;AmrVbZXW+eB37UZ7dgASyTavXP8rN23Z2PD3V9VVRraY4gkaaqMiiVgrQyyWac2ySmR8tF12iaD0&#10;bFPR2p7YSYTM1MSpncgxUdZidySePM5ipc9FxoD+N2cjCbXh4dcevORMf7bEdVL12fBnoz0bYAWF&#10;NjxyNpubmNWfyrZ4RzPoVebnOfOpNhJcZvj0OZKiX56z1/MXXv8BAAD//wMAUEsDBBQABgAIAAAA&#10;IQBXRnI23wAAAA8BAAAPAAAAZHJzL2Rvd25yZXYueG1sTE9BTsMwELwj8QdrkbggajcKVRTiVNDC&#10;DQ4tVc9u7CZR43VkO036ezYnuM3sjGZnivVkO3Y1PrQOJSwXApjByukWawmHn8/nDFiICrXqHBoJ&#10;NxNgXd7fFSrXbsSdue5jzSgEQ64kNDH2OeehaoxVYeF6g6SdnbcqEvU1116NFG47ngix4la1SB8a&#10;1ZtNY6rLfrASVls/jDvcPG0PH1/qu6+T4/vtKOXjw/T2CiyaKf6ZYa5P1aGkTic3oA6sIy7SlMZE&#10;Qi/LhNDsEZkgdJpvaSaAlwX/v6P8BQAA//8DAFBLAQItABQABgAIAAAAIQC2gziS/gAAAOEBAAAT&#10;AAAAAAAAAAAAAAAAAAAAAABbQ29udGVudF9UeXBlc10ueG1sUEsBAi0AFAAGAAgAAAAhADj9If/W&#10;AAAAlAEAAAsAAAAAAAAAAAAAAAAALwEAAF9yZWxzLy5yZWxzUEsBAi0AFAAGAAgAAAAhANAG394O&#10;AgAACgQAAA4AAAAAAAAAAAAAAAAALgIAAGRycy9lMm9Eb2MueG1sUEsBAi0AFAAGAAgAAAAhAFdG&#10;cjbfAAAADwEAAA8AAAAAAAAAAAAAAAAAaAQAAGRycy9kb3ducmV2LnhtbFBLBQYAAAAABAAEAPMA&#10;AAB0BQAAAAA=&#10;" stroked="f">
              <v:textbox inset="0,0,0,0">
                <w:txbxContent>
                  <w:p w:rsidR="00596DAD" w:rsidRDefault="00596DAD" w:rsidP="00596DAD">
                    <w:pPr>
                      <w:pStyle w:val="Footer"/>
                      <w:jc w:val="right"/>
                    </w:pPr>
                    <w:r>
                      <w:fldChar w:fldCharType="begin"/>
                    </w:r>
                    <w:r>
                      <w:instrText xml:space="preserve"> PAGE   \* MERGEFORMAT </w:instrText>
                    </w:r>
                    <w:r>
                      <w:fldChar w:fldCharType="separate"/>
                    </w:r>
                    <w:r w:rsidR="00077291">
                      <w:rPr>
                        <w:noProof/>
                      </w:rPr>
                      <w:t>6</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C3" w:rsidRDefault="00F2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6E" w:rsidRDefault="00FB2F6E" w:rsidP="008B73E7">
      <w:pPr>
        <w:spacing w:line="240" w:lineRule="auto"/>
      </w:pPr>
      <w:r>
        <w:separator/>
      </w:r>
    </w:p>
  </w:footnote>
  <w:footnote w:type="continuationSeparator" w:id="0">
    <w:p w:rsidR="00FB2F6E" w:rsidRDefault="00FB2F6E" w:rsidP="008B73E7">
      <w:pPr>
        <w:spacing w:line="240" w:lineRule="auto"/>
      </w:pPr>
      <w:r>
        <w:continuationSeparator/>
      </w:r>
    </w:p>
  </w:footnote>
  <w:footnote w:id="1">
    <w:p w:rsidR="005815F7" w:rsidRDefault="005815F7" w:rsidP="005815F7">
      <w:pPr>
        <w:pStyle w:val="FootnoteText"/>
      </w:pPr>
      <w:r>
        <w:rPr>
          <w:rStyle w:val="FootnoteReference"/>
        </w:rPr>
        <w:footnoteRef/>
      </w:r>
      <w:r>
        <w:t xml:space="preserve"> For purposes of many State laws and Regulations, reportable, communicable, notifiable and infectious diseases are used synonymously. </w:t>
      </w:r>
    </w:p>
  </w:footnote>
  <w:footnote w:id="2">
    <w:p w:rsidR="005815F7" w:rsidRDefault="005815F7" w:rsidP="005815F7">
      <w:pPr>
        <w:pStyle w:val="FootnoteText"/>
      </w:pPr>
      <w:r>
        <w:rPr>
          <w:rStyle w:val="FootnoteReference"/>
        </w:rPr>
        <w:footnoteRef/>
      </w:r>
      <w:r>
        <w:t xml:space="preserve"> All referenced statutes and regulations will be attached to the memorandum in separate identifiable files.</w:t>
      </w:r>
    </w:p>
  </w:footnote>
  <w:footnote w:id="3">
    <w:p w:rsidR="005815F7" w:rsidRDefault="005815F7" w:rsidP="005815F7">
      <w:pPr>
        <w:pStyle w:val="FootnoteText"/>
      </w:pPr>
      <w:r>
        <w:rPr>
          <w:rStyle w:val="FootnoteReference"/>
        </w:rPr>
        <w:footnoteRef/>
      </w:r>
      <w:r>
        <w:t xml:space="preserve"> Pursuant to sections </w:t>
      </w:r>
      <w:r w:rsidRPr="00183574">
        <w:rPr>
          <w:i/>
        </w:rPr>
        <w:t>300.100: Case Reports by Local Boards of Health and 300.160: Diseases Reportable by Local Boards of Health to the Department</w:t>
      </w:r>
      <w:r>
        <w:t>, local boards of health are required to utilize the Department’s secure web-based disease surveillance and case management system, namely MAVEN (Massachusetts Virtual Epidemiologic Network), for notifiable diseases.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C3" w:rsidRDefault="00F23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568501" o:spid="_x0000_s2050" type="#_x0000_t136" style="position:absolute;margin-left:0;margin-top:0;width:412.4pt;height:247.45pt;rotation:315;z-index:-251651072;mso-position-horizontal:center;mso-position-horizontal-relative:margin;mso-position-vertical:center;mso-position-vertical-relative:margin" o:allowincell="f" fillcolor="#bfbfbf [24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E7" w:rsidRDefault="00F23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568502" o:spid="_x0000_s2051" type="#_x0000_t136" style="position:absolute;margin-left:0;margin-top:0;width:412.4pt;height:247.45pt;rotation:315;z-index:-251649024;mso-position-horizontal:center;mso-position-horizontal-relative:margin;mso-position-vertical:center;mso-position-vertical-relative:margin" o:allowincell="f" fillcolor="#bfbfbf [2412]" stroked="f">
          <v:fill opacity=".5"/>
          <v:textpath style="font-family:&quot;Calibri&quot;;font-size:1pt" string="DRAFT"/>
        </v:shape>
      </w:pict>
    </w:r>
    <w:r w:rsidR="008B73E7">
      <w:rPr>
        <w:noProof/>
      </w:rPr>
      <w:drawing>
        <wp:anchor distT="0" distB="0" distL="114300" distR="114300" simplePos="0" relativeHeight="251659264" behindDoc="0" locked="0" layoutInCell="1" allowOverlap="1">
          <wp:simplePos x="0" y="0"/>
          <wp:positionH relativeFrom="page">
            <wp:posOffset>4114800</wp:posOffset>
          </wp:positionH>
          <wp:positionV relativeFrom="page">
            <wp:posOffset>402590</wp:posOffset>
          </wp:positionV>
          <wp:extent cx="3429000" cy="1463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Bridge Tagline-02.jpg"/>
                  <pic:cNvPicPr/>
                </pic:nvPicPr>
                <pic:blipFill>
                  <a:blip r:embed="rId1">
                    <a:extLst>
                      <a:ext uri="{28A0092B-C50C-407E-A947-70E740481C1C}">
                        <a14:useLocalDpi xmlns:a14="http://schemas.microsoft.com/office/drawing/2010/main" val="0"/>
                      </a:ext>
                    </a:extLst>
                  </a:blip>
                  <a:stretch>
                    <a:fillRect/>
                  </a:stretch>
                </pic:blipFill>
                <pic:spPr>
                  <a:xfrm>
                    <a:off x="0" y="0"/>
                    <a:ext cx="3429000" cy="146304"/>
                  </a:xfrm>
                  <a:prstGeom prst="rect">
                    <a:avLst/>
                  </a:prstGeom>
                </pic:spPr>
              </pic:pic>
            </a:graphicData>
          </a:graphic>
          <wp14:sizeRelH relativeFrom="margin">
            <wp14:pctWidth>0</wp14:pctWidth>
          </wp14:sizeRelH>
          <wp14:sizeRelV relativeFrom="margin">
            <wp14:pctHeight>0</wp14:pctHeight>
          </wp14:sizeRelV>
        </wp:anchor>
      </w:drawing>
    </w:r>
    <w:r w:rsidR="008B73E7">
      <w:rPr>
        <w:noProof/>
      </w:rPr>
      <w:drawing>
        <wp:anchor distT="0" distB="0" distL="114300" distR="114300" simplePos="0" relativeHeight="251658240" behindDoc="0" locked="0" layoutInCell="1" allowOverlap="1">
          <wp:simplePos x="0" y="0"/>
          <wp:positionH relativeFrom="page">
            <wp:posOffset>228600</wp:posOffset>
          </wp:positionH>
          <wp:positionV relativeFrom="page">
            <wp:posOffset>228600</wp:posOffset>
          </wp:positionV>
          <wp:extent cx="1828800" cy="5852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Bridge Logo.jpg"/>
                  <pic:cNvPicPr/>
                </pic:nvPicPr>
                <pic:blipFill>
                  <a:blip r:embed="rId2">
                    <a:extLst>
                      <a:ext uri="{28A0092B-C50C-407E-A947-70E740481C1C}">
                        <a14:useLocalDpi xmlns:a14="http://schemas.microsoft.com/office/drawing/2010/main" val="0"/>
                      </a:ext>
                    </a:extLst>
                  </a:blip>
                  <a:stretch>
                    <a:fillRect/>
                  </a:stretch>
                </pic:blipFill>
                <pic:spPr>
                  <a:xfrm>
                    <a:off x="0" y="0"/>
                    <a:ext cx="1828800"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C3" w:rsidRDefault="00F23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568500" o:spid="_x0000_s2049" type="#_x0000_t136" style="position:absolute;margin-left:0;margin-top:0;width:412.4pt;height:247.45pt;rotation:315;z-index:-251653120;mso-position-horizontal:center;mso-position-horizontal-relative:margin;mso-position-vertical:center;mso-position-vertical-relative:margin" o:allowincell="f" fillcolor="#bfbfbf [24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3E7"/>
    <w:multiLevelType w:val="hybridMultilevel"/>
    <w:tmpl w:val="AF3ABE6C"/>
    <w:lvl w:ilvl="0" w:tplc="A3FEE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D70B6"/>
    <w:multiLevelType w:val="hybridMultilevel"/>
    <w:tmpl w:val="AB1CFA72"/>
    <w:lvl w:ilvl="0" w:tplc="71D8D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C6F30"/>
    <w:multiLevelType w:val="hybridMultilevel"/>
    <w:tmpl w:val="93500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A5410"/>
    <w:multiLevelType w:val="hybridMultilevel"/>
    <w:tmpl w:val="648CC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869C1"/>
    <w:multiLevelType w:val="hybridMultilevel"/>
    <w:tmpl w:val="AF50FA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96A72"/>
    <w:multiLevelType w:val="hybridMultilevel"/>
    <w:tmpl w:val="4D8188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22F555B"/>
    <w:multiLevelType w:val="hybridMultilevel"/>
    <w:tmpl w:val="BFD02BCE"/>
    <w:lvl w:ilvl="0" w:tplc="A3FEE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338A1"/>
    <w:multiLevelType w:val="hybridMultilevel"/>
    <w:tmpl w:val="933C0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21"/>
    <w:rsid w:val="00077291"/>
    <w:rsid w:val="001F6029"/>
    <w:rsid w:val="002456F0"/>
    <w:rsid w:val="003845F3"/>
    <w:rsid w:val="00455838"/>
    <w:rsid w:val="00570248"/>
    <w:rsid w:val="005815F7"/>
    <w:rsid w:val="00596DAD"/>
    <w:rsid w:val="006466EA"/>
    <w:rsid w:val="006E21AB"/>
    <w:rsid w:val="008B73E7"/>
    <w:rsid w:val="008D07D5"/>
    <w:rsid w:val="008D2E06"/>
    <w:rsid w:val="008D5386"/>
    <w:rsid w:val="00CF3FF5"/>
    <w:rsid w:val="00D40BE8"/>
    <w:rsid w:val="00DC08AF"/>
    <w:rsid w:val="00E35DB7"/>
    <w:rsid w:val="00EC2421"/>
    <w:rsid w:val="00ED100C"/>
    <w:rsid w:val="00F232C3"/>
    <w:rsid w:val="00F950EC"/>
    <w:rsid w:val="00FB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21"/>
    <w:pPr>
      <w:suppressAutoHyphens/>
      <w:autoSpaceDE w:val="0"/>
      <w:autoSpaceDN w:val="0"/>
      <w:adjustRightInd w:val="0"/>
      <w:spacing w:after="0" w:line="288" w:lineRule="auto"/>
      <w:textAlignment w:val="center"/>
    </w:pPr>
    <w:rPr>
      <w:rFonts w:ascii="Calibri" w:hAnsi="Calibri" w:cs="Calibri"/>
      <w:color w:val="000000"/>
      <w:sz w:val="20"/>
      <w:szCs w:val="20"/>
    </w:rPr>
  </w:style>
  <w:style w:type="paragraph" w:styleId="Heading1">
    <w:name w:val="heading 1"/>
    <w:basedOn w:val="Normal"/>
    <w:next w:val="Normal"/>
    <w:link w:val="Heading1Char"/>
    <w:uiPriority w:val="9"/>
    <w:qFormat/>
    <w:rsid w:val="006E21AB"/>
    <w:pPr>
      <w:outlineLvl w:val="0"/>
    </w:pPr>
    <w:rPr>
      <w:b/>
      <w:bCs/>
      <w:color w:val="1B3E6F"/>
      <w:sz w:val="36"/>
      <w:szCs w:val="36"/>
    </w:rPr>
  </w:style>
  <w:style w:type="paragraph" w:styleId="Heading2">
    <w:name w:val="heading 2"/>
    <w:aliases w:val="Subhead 1"/>
    <w:next w:val="Normal"/>
    <w:link w:val="Heading2Char"/>
    <w:uiPriority w:val="9"/>
    <w:unhideWhenUsed/>
    <w:qFormat/>
    <w:rsid w:val="00D40BE8"/>
    <w:pPr>
      <w:suppressAutoHyphens/>
      <w:spacing w:after="0"/>
      <w:outlineLvl w:val="1"/>
    </w:pPr>
    <w:rPr>
      <w:rFonts w:ascii="Calibri" w:hAnsi="Calibri" w:cs="Calibri"/>
      <w:b/>
      <w:bCs/>
      <w:color w:val="069948"/>
      <w:sz w:val="24"/>
      <w:szCs w:val="24"/>
    </w:rPr>
  </w:style>
  <w:style w:type="paragraph" w:styleId="Heading3">
    <w:name w:val="heading 3"/>
    <w:aliases w:val="Subhead 2"/>
    <w:next w:val="Normal"/>
    <w:link w:val="Heading3Char"/>
    <w:uiPriority w:val="9"/>
    <w:unhideWhenUsed/>
    <w:qFormat/>
    <w:rsid w:val="008D5386"/>
    <w:pPr>
      <w:suppressAutoHyphens/>
      <w:spacing w:after="0"/>
      <w:outlineLvl w:val="2"/>
    </w:pPr>
    <w:rPr>
      <w:rFonts w:ascii="Calibri" w:hAnsi="Calibri" w:cs="Calibri"/>
      <w:b/>
      <w:bCs/>
      <w:color w:val="1B3E6F"/>
      <w:sz w:val="20"/>
      <w:szCs w:val="20"/>
    </w:rPr>
  </w:style>
  <w:style w:type="paragraph" w:styleId="Heading4">
    <w:name w:val="heading 4"/>
    <w:basedOn w:val="Normal"/>
    <w:next w:val="Normal"/>
    <w:link w:val="Heading4Char"/>
    <w:uiPriority w:val="9"/>
    <w:semiHidden/>
    <w:unhideWhenUsed/>
    <w:qFormat/>
    <w:rsid w:val="00EC2421"/>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C2421"/>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C2421"/>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421"/>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242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C242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E7"/>
    <w:pPr>
      <w:tabs>
        <w:tab w:val="center" w:pos="4680"/>
        <w:tab w:val="right" w:pos="9360"/>
      </w:tabs>
      <w:spacing w:line="240" w:lineRule="auto"/>
    </w:pPr>
  </w:style>
  <w:style w:type="character" w:customStyle="1" w:styleId="Heading1Char">
    <w:name w:val="Heading 1 Char"/>
    <w:basedOn w:val="DefaultParagraphFont"/>
    <w:link w:val="Heading1"/>
    <w:uiPriority w:val="9"/>
    <w:rsid w:val="006E21AB"/>
    <w:rPr>
      <w:rFonts w:ascii="Calibri" w:hAnsi="Calibri" w:cs="Calibri"/>
      <w:b/>
      <w:bCs/>
      <w:color w:val="1B3E6F"/>
      <w:sz w:val="36"/>
      <w:szCs w:val="36"/>
    </w:rPr>
  </w:style>
  <w:style w:type="character" w:customStyle="1" w:styleId="Heading2Char">
    <w:name w:val="Heading 2 Char"/>
    <w:aliases w:val="Subhead 1 Char"/>
    <w:basedOn w:val="DefaultParagraphFont"/>
    <w:link w:val="Heading2"/>
    <w:uiPriority w:val="9"/>
    <w:rsid w:val="00D40BE8"/>
    <w:rPr>
      <w:rFonts w:ascii="Calibri" w:hAnsi="Calibri" w:cs="Calibri"/>
      <w:b/>
      <w:bCs/>
      <w:color w:val="069948"/>
      <w:sz w:val="24"/>
      <w:szCs w:val="24"/>
    </w:rPr>
  </w:style>
  <w:style w:type="character" w:customStyle="1" w:styleId="Heading3Char">
    <w:name w:val="Heading 3 Char"/>
    <w:aliases w:val="Subhead 2 Char"/>
    <w:basedOn w:val="DefaultParagraphFont"/>
    <w:link w:val="Heading3"/>
    <w:uiPriority w:val="9"/>
    <w:rsid w:val="008D5386"/>
    <w:rPr>
      <w:rFonts w:ascii="Calibri" w:hAnsi="Calibri" w:cs="Calibri"/>
      <w:b/>
      <w:bCs/>
      <w:color w:val="1B3E6F"/>
      <w:sz w:val="20"/>
      <w:szCs w:val="20"/>
    </w:rPr>
  </w:style>
  <w:style w:type="character" w:customStyle="1" w:styleId="Heading4Char">
    <w:name w:val="Heading 4 Char"/>
    <w:basedOn w:val="DefaultParagraphFont"/>
    <w:link w:val="Heading4"/>
    <w:uiPriority w:val="9"/>
    <w:semiHidden/>
    <w:rsid w:val="00EC242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C242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C242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C24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242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C242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C242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845F3"/>
    <w:pPr>
      <w:suppressAutoHyphens w:val="0"/>
      <w:jc w:val="center"/>
    </w:pPr>
    <w:rPr>
      <w:b/>
      <w:bCs/>
      <w:sz w:val="66"/>
      <w:szCs w:val="66"/>
    </w:rPr>
  </w:style>
  <w:style w:type="character" w:customStyle="1" w:styleId="TitleChar">
    <w:name w:val="Title Char"/>
    <w:basedOn w:val="DefaultParagraphFont"/>
    <w:link w:val="Title"/>
    <w:uiPriority w:val="10"/>
    <w:rsid w:val="003845F3"/>
    <w:rPr>
      <w:rFonts w:ascii="Calibri" w:hAnsi="Calibri" w:cs="Calibri"/>
      <w:b/>
      <w:bCs/>
      <w:color w:val="000000"/>
      <w:sz w:val="66"/>
      <w:szCs w:val="66"/>
    </w:rPr>
  </w:style>
  <w:style w:type="paragraph" w:styleId="Subtitle">
    <w:name w:val="Subtitle"/>
    <w:basedOn w:val="Normal"/>
    <w:next w:val="Normal"/>
    <w:link w:val="SubtitleChar"/>
    <w:uiPriority w:val="11"/>
    <w:qFormat/>
    <w:rsid w:val="003845F3"/>
    <w:pPr>
      <w:jc w:val="center"/>
    </w:pPr>
    <w:rPr>
      <w:sz w:val="36"/>
      <w:szCs w:val="36"/>
    </w:rPr>
  </w:style>
  <w:style w:type="character" w:customStyle="1" w:styleId="SubtitleChar">
    <w:name w:val="Subtitle Char"/>
    <w:basedOn w:val="DefaultParagraphFont"/>
    <w:link w:val="Subtitle"/>
    <w:uiPriority w:val="11"/>
    <w:rsid w:val="003845F3"/>
    <w:rPr>
      <w:rFonts w:ascii="Calibri" w:hAnsi="Calibri" w:cs="Calibri"/>
      <w:color w:val="000000"/>
      <w:sz w:val="36"/>
      <w:szCs w:val="36"/>
    </w:rPr>
  </w:style>
  <w:style w:type="character" w:styleId="Strong">
    <w:name w:val="Strong"/>
    <w:basedOn w:val="DefaultParagraphFont"/>
    <w:uiPriority w:val="22"/>
    <w:qFormat/>
    <w:rsid w:val="00EC2421"/>
    <w:rPr>
      <w:b/>
      <w:bCs/>
      <w:color w:val="auto"/>
    </w:rPr>
  </w:style>
  <w:style w:type="character" w:styleId="Emphasis">
    <w:name w:val="Emphasis"/>
    <w:basedOn w:val="DefaultParagraphFont"/>
    <w:uiPriority w:val="20"/>
    <w:qFormat/>
    <w:rsid w:val="00EC2421"/>
    <w:rPr>
      <w:i/>
      <w:iCs/>
      <w:color w:val="auto"/>
    </w:rPr>
  </w:style>
  <w:style w:type="paragraph" w:styleId="NoSpacing">
    <w:name w:val="No Spacing"/>
    <w:link w:val="NoSpacingChar"/>
    <w:uiPriority w:val="1"/>
    <w:qFormat/>
    <w:rsid w:val="00EC2421"/>
    <w:pPr>
      <w:spacing w:after="0" w:line="240" w:lineRule="auto"/>
    </w:pPr>
  </w:style>
  <w:style w:type="paragraph" w:styleId="Quote">
    <w:name w:val="Quote"/>
    <w:basedOn w:val="Normal"/>
    <w:next w:val="Normal"/>
    <w:link w:val="QuoteChar"/>
    <w:uiPriority w:val="29"/>
    <w:qFormat/>
    <w:rsid w:val="00EC242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C2421"/>
    <w:rPr>
      <w:i/>
      <w:iCs/>
      <w:color w:val="404040" w:themeColor="text1" w:themeTint="BF"/>
    </w:rPr>
  </w:style>
  <w:style w:type="paragraph" w:styleId="IntenseQuote">
    <w:name w:val="Intense Quote"/>
    <w:basedOn w:val="Normal"/>
    <w:next w:val="Normal"/>
    <w:link w:val="IntenseQuoteChar"/>
    <w:uiPriority w:val="30"/>
    <w:qFormat/>
    <w:rsid w:val="00EC242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C2421"/>
    <w:rPr>
      <w:i/>
      <w:iCs/>
      <w:color w:val="404040" w:themeColor="text1" w:themeTint="BF"/>
    </w:rPr>
  </w:style>
  <w:style w:type="character" w:styleId="SubtleEmphasis">
    <w:name w:val="Subtle Emphasis"/>
    <w:basedOn w:val="DefaultParagraphFont"/>
    <w:uiPriority w:val="19"/>
    <w:qFormat/>
    <w:rsid w:val="00EC2421"/>
    <w:rPr>
      <w:i/>
      <w:iCs/>
      <w:color w:val="404040" w:themeColor="text1" w:themeTint="BF"/>
    </w:rPr>
  </w:style>
  <w:style w:type="character" w:styleId="IntenseEmphasis">
    <w:name w:val="Intense Emphasis"/>
    <w:basedOn w:val="DefaultParagraphFont"/>
    <w:uiPriority w:val="21"/>
    <w:qFormat/>
    <w:rsid w:val="00EC2421"/>
    <w:rPr>
      <w:b/>
      <w:bCs/>
      <w:i/>
      <w:iCs/>
      <w:color w:val="auto"/>
    </w:rPr>
  </w:style>
  <w:style w:type="character" w:styleId="SubtleReference">
    <w:name w:val="Subtle Reference"/>
    <w:basedOn w:val="DefaultParagraphFont"/>
    <w:uiPriority w:val="31"/>
    <w:qFormat/>
    <w:rsid w:val="00EC2421"/>
    <w:rPr>
      <w:smallCaps/>
      <w:color w:val="404040" w:themeColor="text1" w:themeTint="BF"/>
    </w:rPr>
  </w:style>
  <w:style w:type="character" w:styleId="IntenseReference">
    <w:name w:val="Intense Reference"/>
    <w:basedOn w:val="DefaultParagraphFont"/>
    <w:uiPriority w:val="32"/>
    <w:qFormat/>
    <w:rsid w:val="00EC2421"/>
    <w:rPr>
      <w:b/>
      <w:bCs/>
      <w:smallCaps/>
      <w:color w:val="404040" w:themeColor="text1" w:themeTint="BF"/>
      <w:spacing w:val="5"/>
    </w:rPr>
  </w:style>
  <w:style w:type="character" w:styleId="BookTitle">
    <w:name w:val="Book Title"/>
    <w:basedOn w:val="DefaultParagraphFont"/>
    <w:uiPriority w:val="33"/>
    <w:qFormat/>
    <w:rsid w:val="00EC2421"/>
    <w:rPr>
      <w:b/>
      <w:bCs/>
      <w:i/>
      <w:iCs/>
      <w:spacing w:val="5"/>
    </w:rPr>
  </w:style>
  <w:style w:type="paragraph" w:styleId="TOCHeading">
    <w:name w:val="TOC Heading"/>
    <w:basedOn w:val="Heading1"/>
    <w:next w:val="Normal"/>
    <w:uiPriority w:val="39"/>
    <w:semiHidden/>
    <w:unhideWhenUsed/>
    <w:qFormat/>
    <w:rsid w:val="00EC2421"/>
    <w:pPr>
      <w:outlineLvl w:val="9"/>
    </w:pPr>
  </w:style>
  <w:style w:type="character" w:customStyle="1" w:styleId="HeaderChar">
    <w:name w:val="Header Char"/>
    <w:basedOn w:val="DefaultParagraphFont"/>
    <w:link w:val="Header"/>
    <w:uiPriority w:val="99"/>
    <w:rsid w:val="008B73E7"/>
    <w:rPr>
      <w:rFonts w:ascii="Calibri" w:hAnsi="Calibri" w:cs="Calibri"/>
      <w:color w:val="000000"/>
      <w:sz w:val="20"/>
      <w:szCs w:val="20"/>
    </w:rPr>
  </w:style>
  <w:style w:type="paragraph" w:styleId="Footer">
    <w:name w:val="footer"/>
    <w:basedOn w:val="Normal"/>
    <w:link w:val="FooterChar"/>
    <w:uiPriority w:val="99"/>
    <w:unhideWhenUsed/>
    <w:rsid w:val="008B73E7"/>
    <w:pPr>
      <w:tabs>
        <w:tab w:val="center" w:pos="4680"/>
        <w:tab w:val="right" w:pos="9360"/>
      </w:tabs>
      <w:spacing w:line="240" w:lineRule="auto"/>
    </w:pPr>
  </w:style>
  <w:style w:type="character" w:customStyle="1" w:styleId="FooterChar">
    <w:name w:val="Footer Char"/>
    <w:basedOn w:val="DefaultParagraphFont"/>
    <w:link w:val="Footer"/>
    <w:uiPriority w:val="99"/>
    <w:rsid w:val="008B73E7"/>
    <w:rPr>
      <w:rFonts w:ascii="Calibri" w:hAnsi="Calibri" w:cs="Calibri"/>
      <w:color w:val="000000"/>
      <w:sz w:val="20"/>
      <w:szCs w:val="20"/>
    </w:rPr>
  </w:style>
  <w:style w:type="character" w:customStyle="1" w:styleId="NoSpacingChar">
    <w:name w:val="No Spacing Char"/>
    <w:basedOn w:val="DefaultParagraphFont"/>
    <w:link w:val="NoSpacing"/>
    <w:uiPriority w:val="1"/>
    <w:rsid w:val="003845F3"/>
  </w:style>
  <w:style w:type="character" w:styleId="Hyperlink">
    <w:name w:val="Hyperlink"/>
    <w:basedOn w:val="DefaultParagraphFont"/>
    <w:uiPriority w:val="99"/>
    <w:unhideWhenUsed/>
    <w:rsid w:val="006E21AB"/>
    <w:rPr>
      <w:b/>
      <w:color w:val="069948"/>
      <w:u w:val="single"/>
    </w:rPr>
  </w:style>
  <w:style w:type="paragraph" w:customStyle="1" w:styleId="Default">
    <w:name w:val="Default"/>
    <w:rsid w:val="005815F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5815F7"/>
    <w:pPr>
      <w:suppressAutoHyphens w:val="0"/>
      <w:autoSpaceDE/>
      <w:autoSpaceDN/>
      <w:adjustRightInd/>
      <w:spacing w:line="240" w:lineRule="auto"/>
      <w:textAlignment w:val="auto"/>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semiHidden/>
    <w:rsid w:val="005815F7"/>
    <w:rPr>
      <w:rFonts w:eastAsiaTheme="minorHAnsi"/>
      <w:sz w:val="20"/>
      <w:szCs w:val="20"/>
    </w:rPr>
  </w:style>
  <w:style w:type="character" w:styleId="FootnoteReference">
    <w:name w:val="footnote reference"/>
    <w:basedOn w:val="DefaultParagraphFont"/>
    <w:uiPriority w:val="99"/>
    <w:semiHidden/>
    <w:unhideWhenUsed/>
    <w:rsid w:val="005815F7"/>
    <w:rPr>
      <w:vertAlign w:val="superscript"/>
    </w:rPr>
  </w:style>
  <w:style w:type="paragraph" w:styleId="ListParagraph">
    <w:name w:val="List Paragraph"/>
    <w:basedOn w:val="Normal"/>
    <w:uiPriority w:val="34"/>
    <w:qFormat/>
    <w:rsid w:val="008D5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21"/>
    <w:pPr>
      <w:suppressAutoHyphens/>
      <w:autoSpaceDE w:val="0"/>
      <w:autoSpaceDN w:val="0"/>
      <w:adjustRightInd w:val="0"/>
      <w:spacing w:after="0" w:line="288" w:lineRule="auto"/>
      <w:textAlignment w:val="center"/>
    </w:pPr>
    <w:rPr>
      <w:rFonts w:ascii="Calibri" w:hAnsi="Calibri" w:cs="Calibri"/>
      <w:color w:val="000000"/>
      <w:sz w:val="20"/>
      <w:szCs w:val="20"/>
    </w:rPr>
  </w:style>
  <w:style w:type="paragraph" w:styleId="Heading1">
    <w:name w:val="heading 1"/>
    <w:basedOn w:val="Normal"/>
    <w:next w:val="Normal"/>
    <w:link w:val="Heading1Char"/>
    <w:uiPriority w:val="9"/>
    <w:qFormat/>
    <w:rsid w:val="006E21AB"/>
    <w:pPr>
      <w:outlineLvl w:val="0"/>
    </w:pPr>
    <w:rPr>
      <w:b/>
      <w:bCs/>
      <w:color w:val="1B3E6F"/>
      <w:sz w:val="36"/>
      <w:szCs w:val="36"/>
    </w:rPr>
  </w:style>
  <w:style w:type="paragraph" w:styleId="Heading2">
    <w:name w:val="heading 2"/>
    <w:aliases w:val="Subhead 1"/>
    <w:next w:val="Normal"/>
    <w:link w:val="Heading2Char"/>
    <w:uiPriority w:val="9"/>
    <w:unhideWhenUsed/>
    <w:qFormat/>
    <w:rsid w:val="00D40BE8"/>
    <w:pPr>
      <w:suppressAutoHyphens/>
      <w:spacing w:after="0"/>
      <w:outlineLvl w:val="1"/>
    </w:pPr>
    <w:rPr>
      <w:rFonts w:ascii="Calibri" w:hAnsi="Calibri" w:cs="Calibri"/>
      <w:b/>
      <w:bCs/>
      <w:color w:val="069948"/>
      <w:sz w:val="24"/>
      <w:szCs w:val="24"/>
    </w:rPr>
  </w:style>
  <w:style w:type="paragraph" w:styleId="Heading3">
    <w:name w:val="heading 3"/>
    <w:aliases w:val="Subhead 2"/>
    <w:next w:val="Normal"/>
    <w:link w:val="Heading3Char"/>
    <w:uiPriority w:val="9"/>
    <w:unhideWhenUsed/>
    <w:qFormat/>
    <w:rsid w:val="008D5386"/>
    <w:pPr>
      <w:suppressAutoHyphens/>
      <w:spacing w:after="0"/>
      <w:outlineLvl w:val="2"/>
    </w:pPr>
    <w:rPr>
      <w:rFonts w:ascii="Calibri" w:hAnsi="Calibri" w:cs="Calibri"/>
      <w:b/>
      <w:bCs/>
      <w:color w:val="1B3E6F"/>
      <w:sz w:val="20"/>
      <w:szCs w:val="20"/>
    </w:rPr>
  </w:style>
  <w:style w:type="paragraph" w:styleId="Heading4">
    <w:name w:val="heading 4"/>
    <w:basedOn w:val="Normal"/>
    <w:next w:val="Normal"/>
    <w:link w:val="Heading4Char"/>
    <w:uiPriority w:val="9"/>
    <w:semiHidden/>
    <w:unhideWhenUsed/>
    <w:qFormat/>
    <w:rsid w:val="00EC2421"/>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C2421"/>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C2421"/>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421"/>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242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C242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E7"/>
    <w:pPr>
      <w:tabs>
        <w:tab w:val="center" w:pos="4680"/>
        <w:tab w:val="right" w:pos="9360"/>
      </w:tabs>
      <w:spacing w:line="240" w:lineRule="auto"/>
    </w:pPr>
  </w:style>
  <w:style w:type="character" w:customStyle="1" w:styleId="Heading1Char">
    <w:name w:val="Heading 1 Char"/>
    <w:basedOn w:val="DefaultParagraphFont"/>
    <w:link w:val="Heading1"/>
    <w:uiPriority w:val="9"/>
    <w:rsid w:val="006E21AB"/>
    <w:rPr>
      <w:rFonts w:ascii="Calibri" w:hAnsi="Calibri" w:cs="Calibri"/>
      <w:b/>
      <w:bCs/>
      <w:color w:val="1B3E6F"/>
      <w:sz w:val="36"/>
      <w:szCs w:val="36"/>
    </w:rPr>
  </w:style>
  <w:style w:type="character" w:customStyle="1" w:styleId="Heading2Char">
    <w:name w:val="Heading 2 Char"/>
    <w:aliases w:val="Subhead 1 Char"/>
    <w:basedOn w:val="DefaultParagraphFont"/>
    <w:link w:val="Heading2"/>
    <w:uiPriority w:val="9"/>
    <w:rsid w:val="00D40BE8"/>
    <w:rPr>
      <w:rFonts w:ascii="Calibri" w:hAnsi="Calibri" w:cs="Calibri"/>
      <w:b/>
      <w:bCs/>
      <w:color w:val="069948"/>
      <w:sz w:val="24"/>
      <w:szCs w:val="24"/>
    </w:rPr>
  </w:style>
  <w:style w:type="character" w:customStyle="1" w:styleId="Heading3Char">
    <w:name w:val="Heading 3 Char"/>
    <w:aliases w:val="Subhead 2 Char"/>
    <w:basedOn w:val="DefaultParagraphFont"/>
    <w:link w:val="Heading3"/>
    <w:uiPriority w:val="9"/>
    <w:rsid w:val="008D5386"/>
    <w:rPr>
      <w:rFonts w:ascii="Calibri" w:hAnsi="Calibri" w:cs="Calibri"/>
      <w:b/>
      <w:bCs/>
      <w:color w:val="1B3E6F"/>
      <w:sz w:val="20"/>
      <w:szCs w:val="20"/>
    </w:rPr>
  </w:style>
  <w:style w:type="character" w:customStyle="1" w:styleId="Heading4Char">
    <w:name w:val="Heading 4 Char"/>
    <w:basedOn w:val="DefaultParagraphFont"/>
    <w:link w:val="Heading4"/>
    <w:uiPriority w:val="9"/>
    <w:semiHidden/>
    <w:rsid w:val="00EC242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C242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C242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C24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242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C242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C242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845F3"/>
    <w:pPr>
      <w:suppressAutoHyphens w:val="0"/>
      <w:jc w:val="center"/>
    </w:pPr>
    <w:rPr>
      <w:b/>
      <w:bCs/>
      <w:sz w:val="66"/>
      <w:szCs w:val="66"/>
    </w:rPr>
  </w:style>
  <w:style w:type="character" w:customStyle="1" w:styleId="TitleChar">
    <w:name w:val="Title Char"/>
    <w:basedOn w:val="DefaultParagraphFont"/>
    <w:link w:val="Title"/>
    <w:uiPriority w:val="10"/>
    <w:rsid w:val="003845F3"/>
    <w:rPr>
      <w:rFonts w:ascii="Calibri" w:hAnsi="Calibri" w:cs="Calibri"/>
      <w:b/>
      <w:bCs/>
      <w:color w:val="000000"/>
      <w:sz w:val="66"/>
      <w:szCs w:val="66"/>
    </w:rPr>
  </w:style>
  <w:style w:type="paragraph" w:styleId="Subtitle">
    <w:name w:val="Subtitle"/>
    <w:basedOn w:val="Normal"/>
    <w:next w:val="Normal"/>
    <w:link w:val="SubtitleChar"/>
    <w:uiPriority w:val="11"/>
    <w:qFormat/>
    <w:rsid w:val="003845F3"/>
    <w:pPr>
      <w:jc w:val="center"/>
    </w:pPr>
    <w:rPr>
      <w:sz w:val="36"/>
      <w:szCs w:val="36"/>
    </w:rPr>
  </w:style>
  <w:style w:type="character" w:customStyle="1" w:styleId="SubtitleChar">
    <w:name w:val="Subtitle Char"/>
    <w:basedOn w:val="DefaultParagraphFont"/>
    <w:link w:val="Subtitle"/>
    <w:uiPriority w:val="11"/>
    <w:rsid w:val="003845F3"/>
    <w:rPr>
      <w:rFonts w:ascii="Calibri" w:hAnsi="Calibri" w:cs="Calibri"/>
      <w:color w:val="000000"/>
      <w:sz w:val="36"/>
      <w:szCs w:val="36"/>
    </w:rPr>
  </w:style>
  <w:style w:type="character" w:styleId="Strong">
    <w:name w:val="Strong"/>
    <w:basedOn w:val="DefaultParagraphFont"/>
    <w:uiPriority w:val="22"/>
    <w:qFormat/>
    <w:rsid w:val="00EC2421"/>
    <w:rPr>
      <w:b/>
      <w:bCs/>
      <w:color w:val="auto"/>
    </w:rPr>
  </w:style>
  <w:style w:type="character" w:styleId="Emphasis">
    <w:name w:val="Emphasis"/>
    <w:basedOn w:val="DefaultParagraphFont"/>
    <w:uiPriority w:val="20"/>
    <w:qFormat/>
    <w:rsid w:val="00EC2421"/>
    <w:rPr>
      <w:i/>
      <w:iCs/>
      <w:color w:val="auto"/>
    </w:rPr>
  </w:style>
  <w:style w:type="paragraph" w:styleId="NoSpacing">
    <w:name w:val="No Spacing"/>
    <w:link w:val="NoSpacingChar"/>
    <w:uiPriority w:val="1"/>
    <w:qFormat/>
    <w:rsid w:val="00EC2421"/>
    <w:pPr>
      <w:spacing w:after="0" w:line="240" w:lineRule="auto"/>
    </w:pPr>
  </w:style>
  <w:style w:type="paragraph" w:styleId="Quote">
    <w:name w:val="Quote"/>
    <w:basedOn w:val="Normal"/>
    <w:next w:val="Normal"/>
    <w:link w:val="QuoteChar"/>
    <w:uiPriority w:val="29"/>
    <w:qFormat/>
    <w:rsid w:val="00EC242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C2421"/>
    <w:rPr>
      <w:i/>
      <w:iCs/>
      <w:color w:val="404040" w:themeColor="text1" w:themeTint="BF"/>
    </w:rPr>
  </w:style>
  <w:style w:type="paragraph" w:styleId="IntenseQuote">
    <w:name w:val="Intense Quote"/>
    <w:basedOn w:val="Normal"/>
    <w:next w:val="Normal"/>
    <w:link w:val="IntenseQuoteChar"/>
    <w:uiPriority w:val="30"/>
    <w:qFormat/>
    <w:rsid w:val="00EC242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C2421"/>
    <w:rPr>
      <w:i/>
      <w:iCs/>
      <w:color w:val="404040" w:themeColor="text1" w:themeTint="BF"/>
    </w:rPr>
  </w:style>
  <w:style w:type="character" w:styleId="SubtleEmphasis">
    <w:name w:val="Subtle Emphasis"/>
    <w:basedOn w:val="DefaultParagraphFont"/>
    <w:uiPriority w:val="19"/>
    <w:qFormat/>
    <w:rsid w:val="00EC2421"/>
    <w:rPr>
      <w:i/>
      <w:iCs/>
      <w:color w:val="404040" w:themeColor="text1" w:themeTint="BF"/>
    </w:rPr>
  </w:style>
  <w:style w:type="character" w:styleId="IntenseEmphasis">
    <w:name w:val="Intense Emphasis"/>
    <w:basedOn w:val="DefaultParagraphFont"/>
    <w:uiPriority w:val="21"/>
    <w:qFormat/>
    <w:rsid w:val="00EC2421"/>
    <w:rPr>
      <w:b/>
      <w:bCs/>
      <w:i/>
      <w:iCs/>
      <w:color w:val="auto"/>
    </w:rPr>
  </w:style>
  <w:style w:type="character" w:styleId="SubtleReference">
    <w:name w:val="Subtle Reference"/>
    <w:basedOn w:val="DefaultParagraphFont"/>
    <w:uiPriority w:val="31"/>
    <w:qFormat/>
    <w:rsid w:val="00EC2421"/>
    <w:rPr>
      <w:smallCaps/>
      <w:color w:val="404040" w:themeColor="text1" w:themeTint="BF"/>
    </w:rPr>
  </w:style>
  <w:style w:type="character" w:styleId="IntenseReference">
    <w:name w:val="Intense Reference"/>
    <w:basedOn w:val="DefaultParagraphFont"/>
    <w:uiPriority w:val="32"/>
    <w:qFormat/>
    <w:rsid w:val="00EC2421"/>
    <w:rPr>
      <w:b/>
      <w:bCs/>
      <w:smallCaps/>
      <w:color w:val="404040" w:themeColor="text1" w:themeTint="BF"/>
      <w:spacing w:val="5"/>
    </w:rPr>
  </w:style>
  <w:style w:type="character" w:styleId="BookTitle">
    <w:name w:val="Book Title"/>
    <w:basedOn w:val="DefaultParagraphFont"/>
    <w:uiPriority w:val="33"/>
    <w:qFormat/>
    <w:rsid w:val="00EC2421"/>
    <w:rPr>
      <w:b/>
      <w:bCs/>
      <w:i/>
      <w:iCs/>
      <w:spacing w:val="5"/>
    </w:rPr>
  </w:style>
  <w:style w:type="paragraph" w:styleId="TOCHeading">
    <w:name w:val="TOC Heading"/>
    <w:basedOn w:val="Heading1"/>
    <w:next w:val="Normal"/>
    <w:uiPriority w:val="39"/>
    <w:semiHidden/>
    <w:unhideWhenUsed/>
    <w:qFormat/>
    <w:rsid w:val="00EC2421"/>
    <w:pPr>
      <w:outlineLvl w:val="9"/>
    </w:pPr>
  </w:style>
  <w:style w:type="character" w:customStyle="1" w:styleId="HeaderChar">
    <w:name w:val="Header Char"/>
    <w:basedOn w:val="DefaultParagraphFont"/>
    <w:link w:val="Header"/>
    <w:uiPriority w:val="99"/>
    <w:rsid w:val="008B73E7"/>
    <w:rPr>
      <w:rFonts w:ascii="Calibri" w:hAnsi="Calibri" w:cs="Calibri"/>
      <w:color w:val="000000"/>
      <w:sz w:val="20"/>
      <w:szCs w:val="20"/>
    </w:rPr>
  </w:style>
  <w:style w:type="paragraph" w:styleId="Footer">
    <w:name w:val="footer"/>
    <w:basedOn w:val="Normal"/>
    <w:link w:val="FooterChar"/>
    <w:uiPriority w:val="99"/>
    <w:unhideWhenUsed/>
    <w:rsid w:val="008B73E7"/>
    <w:pPr>
      <w:tabs>
        <w:tab w:val="center" w:pos="4680"/>
        <w:tab w:val="right" w:pos="9360"/>
      </w:tabs>
      <w:spacing w:line="240" w:lineRule="auto"/>
    </w:pPr>
  </w:style>
  <w:style w:type="character" w:customStyle="1" w:styleId="FooterChar">
    <w:name w:val="Footer Char"/>
    <w:basedOn w:val="DefaultParagraphFont"/>
    <w:link w:val="Footer"/>
    <w:uiPriority w:val="99"/>
    <w:rsid w:val="008B73E7"/>
    <w:rPr>
      <w:rFonts w:ascii="Calibri" w:hAnsi="Calibri" w:cs="Calibri"/>
      <w:color w:val="000000"/>
      <w:sz w:val="20"/>
      <w:szCs w:val="20"/>
    </w:rPr>
  </w:style>
  <w:style w:type="character" w:customStyle="1" w:styleId="NoSpacingChar">
    <w:name w:val="No Spacing Char"/>
    <w:basedOn w:val="DefaultParagraphFont"/>
    <w:link w:val="NoSpacing"/>
    <w:uiPriority w:val="1"/>
    <w:rsid w:val="003845F3"/>
  </w:style>
  <w:style w:type="character" w:styleId="Hyperlink">
    <w:name w:val="Hyperlink"/>
    <w:basedOn w:val="DefaultParagraphFont"/>
    <w:uiPriority w:val="99"/>
    <w:unhideWhenUsed/>
    <w:rsid w:val="006E21AB"/>
    <w:rPr>
      <w:b/>
      <w:color w:val="069948"/>
      <w:u w:val="single"/>
    </w:rPr>
  </w:style>
  <w:style w:type="paragraph" w:customStyle="1" w:styleId="Default">
    <w:name w:val="Default"/>
    <w:rsid w:val="005815F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basedOn w:val="Normal"/>
    <w:link w:val="FootnoteTextChar"/>
    <w:uiPriority w:val="99"/>
    <w:semiHidden/>
    <w:unhideWhenUsed/>
    <w:rsid w:val="005815F7"/>
    <w:pPr>
      <w:suppressAutoHyphens w:val="0"/>
      <w:autoSpaceDE/>
      <w:autoSpaceDN/>
      <w:adjustRightInd/>
      <w:spacing w:line="240" w:lineRule="auto"/>
      <w:textAlignment w:val="auto"/>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semiHidden/>
    <w:rsid w:val="005815F7"/>
    <w:rPr>
      <w:rFonts w:eastAsiaTheme="minorHAnsi"/>
      <w:sz w:val="20"/>
      <w:szCs w:val="20"/>
    </w:rPr>
  </w:style>
  <w:style w:type="character" w:styleId="FootnoteReference">
    <w:name w:val="footnote reference"/>
    <w:basedOn w:val="DefaultParagraphFont"/>
    <w:uiPriority w:val="99"/>
    <w:semiHidden/>
    <w:unhideWhenUsed/>
    <w:rsid w:val="005815F7"/>
    <w:rPr>
      <w:vertAlign w:val="superscript"/>
    </w:rPr>
  </w:style>
  <w:style w:type="paragraph" w:styleId="ListParagraph">
    <w:name w:val="List Paragraph"/>
    <w:basedOn w:val="Normal"/>
    <w:uiPriority w:val="34"/>
    <w:qFormat/>
    <w:rsid w:val="008D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EA1E-F3C5-45C2-8C80-46EA3F81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2</cp:revision>
  <dcterms:created xsi:type="dcterms:W3CDTF">2017-02-24T16:43:00Z</dcterms:created>
  <dcterms:modified xsi:type="dcterms:W3CDTF">2017-02-24T16:43:00Z</dcterms:modified>
</cp:coreProperties>
</file>